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BE9" w:rsidRDefault="002B7BE9"/>
    <w:tbl>
      <w:tblPr>
        <w:tblW w:w="14586" w:type="dxa"/>
        <w:tblInd w:w="93" w:type="dxa"/>
        <w:tblLook w:val="04A0" w:firstRow="1" w:lastRow="0" w:firstColumn="1" w:lastColumn="0" w:noHBand="0" w:noVBand="1"/>
      </w:tblPr>
      <w:tblGrid>
        <w:gridCol w:w="14586"/>
      </w:tblGrid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C749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Приложение № 14</w:t>
            </w:r>
            <w:r w:rsidR="002B7BE9"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.2</w:t>
            </w: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  Тарифному соглашению 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на медицинскую помощь в системе</w:t>
            </w:r>
          </w:p>
          <w:p w:rsidR="00C74952" w:rsidRPr="00394DBA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обязательного медицинского страхования</w:t>
            </w:r>
          </w:p>
        </w:tc>
      </w:tr>
      <w:tr w:rsidR="00C74952" w:rsidRPr="00394DBA" w:rsidTr="00C74952">
        <w:trPr>
          <w:trHeight w:val="337"/>
        </w:trPr>
        <w:tc>
          <w:tcPr>
            <w:tcW w:w="145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74952" w:rsidRDefault="00C74952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Забайкальского края на 202</w:t>
            </w:r>
            <w:r w:rsidR="0068619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en-US" w:eastAsia="ru-RU"/>
              </w:rPr>
              <w:t>4</w:t>
            </w:r>
            <w:r w:rsidRPr="00394DBA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  <w:p w:rsidR="005A2084" w:rsidRPr="00394DBA" w:rsidRDefault="005A2084" w:rsidP="0017191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942382" w:rsidRPr="00CF47D4" w:rsidRDefault="00942382" w:rsidP="00C74952">
      <w:pPr>
        <w:pStyle w:val="ConsPlusNormal"/>
        <w:jc w:val="right"/>
        <w:rPr>
          <w:rFonts w:ascii="Times New Roman" w:hAnsi="Times New Roman" w:cs="Times New Roman"/>
          <w:sz w:val="28"/>
        </w:rPr>
      </w:pPr>
    </w:p>
    <w:p w:rsidR="0017191C" w:rsidRDefault="00C74952" w:rsidP="001719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4952">
        <w:rPr>
          <w:rFonts w:ascii="Times New Roman" w:eastAsia="Times New Roman" w:hAnsi="Times New Roman" w:cs="Times New Roman"/>
          <w:b/>
          <w:caps/>
          <w:sz w:val="28"/>
          <w:szCs w:val="20"/>
          <w:lang w:eastAsia="ru-RU"/>
        </w:rPr>
        <w:t>14.2</w:t>
      </w:r>
      <w:r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  <w:t xml:space="preserve"> </w:t>
      </w:r>
      <w:r w:rsidR="0017191C" w:rsidRPr="00D67A92">
        <w:rPr>
          <w:rFonts w:ascii="Times New Roman" w:hAnsi="Times New Roman" w:cs="Times New Roman"/>
          <w:b/>
          <w:sz w:val="28"/>
          <w:szCs w:val="28"/>
        </w:rPr>
        <w:t>Перечень показателей результативности деятельности медицинских организаций</w:t>
      </w:r>
    </w:p>
    <w:p w:rsidR="0017191C" w:rsidRDefault="0017191C" w:rsidP="0017191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4952" w:rsidRDefault="00FA29B5" w:rsidP="00FA29B5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Порядок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расчета значений показателей результативности деятельности медицинских организаций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183772" w:rsidRDefault="00183772" w:rsidP="00FA29B5">
      <w:pPr>
        <w:spacing w:after="0"/>
        <w:jc w:val="center"/>
        <w:rPr>
          <w:rFonts w:ascii="Times New Roman" w:eastAsia="Times New Roman" w:hAnsi="Times New Roman" w:cs="Times New Roman"/>
          <w:caps/>
          <w:sz w:val="28"/>
          <w:szCs w:val="20"/>
          <w:lang w:eastAsia="ru-RU"/>
        </w:rPr>
      </w:pPr>
    </w:p>
    <w:tbl>
      <w:tblPr>
        <w:tblW w:w="147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704"/>
        <w:gridCol w:w="3544"/>
        <w:gridCol w:w="4822"/>
        <w:gridCol w:w="1335"/>
        <w:gridCol w:w="14"/>
        <w:gridCol w:w="66"/>
        <w:gridCol w:w="4252"/>
      </w:tblGrid>
      <w:tr w:rsidR="00942382" w:rsidRPr="000B112D" w:rsidTr="00FA29B5">
        <w:trPr>
          <w:trHeight w:val="832"/>
        </w:trPr>
        <w:tc>
          <w:tcPr>
            <w:tcW w:w="704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Наименование показателя</w:t>
            </w:r>
          </w:p>
        </w:tc>
        <w:tc>
          <w:tcPr>
            <w:tcW w:w="4822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Формула расчета**</w:t>
            </w:r>
          </w:p>
        </w:tc>
        <w:tc>
          <w:tcPr>
            <w:tcW w:w="1415" w:type="dxa"/>
            <w:gridSpan w:val="3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Единицы измерения</w:t>
            </w:r>
          </w:p>
        </w:tc>
        <w:tc>
          <w:tcPr>
            <w:tcW w:w="4252" w:type="dxa"/>
            <w:shd w:val="clear" w:color="auto" w:fill="auto"/>
            <w:vAlign w:val="center"/>
            <w:hideMark/>
          </w:tcPr>
          <w:p w:rsidR="00942382" w:rsidRPr="00EA3039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EA30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Источник</w:t>
            </w:r>
          </w:p>
        </w:tc>
      </w:tr>
      <w:tr w:rsidR="00942382" w:rsidRPr="000B112D" w:rsidTr="00FA29B5">
        <w:trPr>
          <w:trHeight w:val="476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Взрослое население (в возрасте 18 лет и старше)</w:t>
            </w:r>
          </w:p>
        </w:tc>
      </w:tr>
      <w:tr w:rsidR="00942382" w:rsidRPr="000B112D" w:rsidTr="00FA29B5">
        <w:trPr>
          <w:trHeight w:val="427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врачебных посещений с профилактической целью за период, от общего числа посещений за период (включая посещения на дому).</w:t>
            </w:r>
          </w:p>
          <w:p w:rsidR="00942382" w:rsidRPr="000B112D" w:rsidRDefault="00942382" w:rsidP="00C74952">
            <w:pPr>
              <w:spacing w:after="0"/>
              <w:ind w:firstLine="325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prof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prof</m:t>
                    </m:r>
                  </m:num>
                  <m:den>
                    <m:r>
                      <w:rPr>
                        <w:rFonts w:ascii="Cambria Math" w:eastAsia="Times New Roman" w:hAnsi="Times New Roman" w:cs="Times New Roman"/>
                        <w:sz w:val="24"/>
                        <w:szCs w:val="24"/>
                        <w:vertAlign w:val="subscript"/>
                        <w:lang w:val="en-US"/>
                      </w:rPr>
                      <m:t>(Pv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s+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Oz*k)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врачебных посещений с профилактической целью за период, от общего числа посещений за период (включая посещения на дому),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выраженное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процентах;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prof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врачебных посещений с профилактической целью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vs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посещений за период (включая посещения на дому)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z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обращений за отчетный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коэффициент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перевода обращений в посещения.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 за исключением посещений стоматологического профиля.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кровообращения, выявленными впервые при профилактических медицинских осмотрах и диспансеризации за период, от общего числа взрослых пациентов с болезнями системы кровообращения с впервые в жизни установленным диагнозом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выявленными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болезнями системы кровообращения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зно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ZNO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зно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установленным диагнозом злокачественное новообразование,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злокачественное новообразование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ZNO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злокачественное новообразование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Расчет показателя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 «признак подозрения на злокачественное новообразование».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Движение пациента отслеживается по формату реестра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новообразования»: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4.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  <w:proofErr w:type="gramEnd"/>
          </w:p>
          <w:p w:rsidR="00942382" w:rsidRPr="000B112D" w:rsidRDefault="00942382" w:rsidP="00AF49A8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382" w:rsidRPr="000B112D" w:rsidRDefault="00942382" w:rsidP="00C74952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42382" w:rsidRPr="000B112D" w:rsidRDefault="00942382" w:rsidP="00C74952">
            <w:pPr>
              <w:spacing w:after="0"/>
              <w:ind w:firstLine="46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легочная болезнь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сахарный диабет, выявленным впервые при профилактических медицинских осмотрах и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диспансеризации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дисп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выявленным впервые при профилактических медицинских осмотрах и диспансеризации за период, от общего числа взрослых пациентов с впервые в жизни установленным диагнозом сахарный диабет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дисп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выявленным впервые при профилактических медицинских осмотрах и диспансеризации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Отбор информации для расчета показателей осуществляется по полям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Выполнение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Vv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эпид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эпид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выполнения плана вакцинации взрослых граждан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взрослых граждан, вакцинированных от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 в отчетном периоде;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Pv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эпид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граждан, подлежащих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акцинации по эпидемиологическим показаниям за период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инфекция COVID-19)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сведения органов государственной власти субъектов Российской Федерации в сфере охраны здоровья, соотносимые с данными федерального регистра вакцинированных.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rPr>
          <w:trHeight w:val="543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диспансерного наблюдения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253F0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 с болезнями системы кровообращения</w:t>
            </w:r>
            <w:r w:rsidR="00F0227B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имеющих высокий риск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преждевременной смерти, состоящих под диспансерным наблюдением, от общего числа взрослых пациентов с болезнями системы кровообращения</w:t>
            </w:r>
            <w:r w:rsidR="00F0227B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  <w:lang w:val="en-US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R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 с болезнями системы кровообращения*, имеющих высокий риск преждевременной смерти, состоящих под диспансерным наблюдением,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смерти, состоящих под диспансерным наблюдением;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R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числа взрослых пациентов с болезнями системы кровообращения*, имеющих высокий риск преждевременной смерти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обратившихся за медицинской </w:t>
            </w:r>
            <w:proofErr w:type="spellStart"/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>помошью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сведениями об оказанной медицинской помощи за период, кроме ВМП, диспансеризации, профилактических медицинских осмотров, медицинской помощи при подозрении на ЗНО»: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8.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Число взрослых с болезнями системы кровообращения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имеющих высокий риск преждевременной смерти, которым за период оказана медицинская помощь в 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экстренной и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неотложной форме, от общего числа взрослых пациентов с болезнями системы кровообращения</w:t>
            </w:r>
            <w:r w:rsidR="00CD2F37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53F0C" w:rsidRPr="005977F0">
              <w:t>*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имеющих высокий риск преждевременной смерти,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Sриск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Vриск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Dриск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взрослых пациентов с болезнями системы кровообращения*, имеющих высокий риск преждевременной смерти, которым за период оказана медицинская помощь в неотложной форме и (или) скорая медицинская помощь, от общего числа взрослых пациентов с болезнями системы кровообращения*, имеющих высокий риск преждевременной смерти, за период;</w:t>
            </w:r>
          </w:p>
          <w:p w:rsidR="00942382" w:rsidRPr="00D028D3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кровообращения*, имеющих высокий риск преждевременной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смерти,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которым за период оказана медицинская помощь в неотложной форме и (или) скорая медицинская помощь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поводу болезней системы кровообращения*, приводящих к высокому риску преждевременной смертности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D</w:t>
            </w:r>
            <w:proofErr w:type="gram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риск</w:t>
            </w:r>
            <w:proofErr w:type="spellEnd"/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 с болезнями системы кровообращения*, имеющих высокий риск преждевременной смерти,</w:t>
            </w:r>
            <w:r w:rsidRPr="00EA30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обратившихся за медицинской помощью</w:t>
            </w:r>
            <w:r w:rsidRPr="00D028D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100 пациентов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осуществляется путем отбора информации по полям реестра в формате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«Файл со сведениями об оказанной медицинской помощи, кроме ВМП, диспансеризации, профилактических медицинских осмотров, медицинской помощи при подозрении на ЗНО»: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дата окончания лечения;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результат обращения;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сопутствующего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осложнения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диспансерное наблюдение;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условия оказания медицинской помощи;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форма оказания медицинской помощи.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9.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BSK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болезнями системы кровообращения,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болезнями системы кровообращения,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BSK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болезни системы кровообращения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хроническая </w:t>
            </w:r>
            <w:proofErr w:type="spell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</w:t>
            </w: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w:lastRenderedPageBreak/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хобл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хобл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с впервые в жизни установленным диагнозом хроническая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обструктивная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болезнь легких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11. 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DN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сд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дн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вп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сд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 с установленным диагнозом сахарный диабет, в отношении которых установлено диспансерное наблюдение за период, от общего числа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дн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 с установленным диагнозом сахарный диабет, в отношении которых установлено диспансерное наблюдение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вп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взрослых пациентов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 диагнозом сахарный диабет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постановки на диспансерный учет;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-возраст пациента;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впервые выявлено (основной);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рождения.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    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лицах, состоящих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под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диспансерном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наблюдением (гл.15 Приказ 108н МЗ РФ)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12.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A420EC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взрослых</w:t>
            </w:r>
            <w:r w:rsidR="00942382"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H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всего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Dn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всего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наблюдением, от общего числа взрослых пациентов, находящихся под диспансерным наблюдением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госпитализированных за период по экстренным показаниям в связи с обострением (декомпенсацией) состояний, по поводу которых пациент находится под диспансерным наблюдением;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Dn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всего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:rsidR="00942382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форма оказания медицинской помощи.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977F0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взрослых, повторно госпитализированных за период по причине заболеваний </w:t>
            </w:r>
            <w:proofErr w:type="gramStart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>сердечно-сосудистой</w:t>
            </w:r>
            <w:proofErr w:type="gramEnd"/>
            <w:r w:rsidRPr="005977F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P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бск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H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бск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доля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госпитализации, от общего числа взрослых пациентов, госпитализированных за период по причине заболеваний сердечно-сосудистой системы или их осложнений;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PH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повторно госпитализированных за период по причине заболеваний сердечно-сосудистой системы или их осложнений в течение года с момента предыдущей госпитализации;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бск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госпитализированных за период по причине заболеваний сердечно-сосудистой системы или их осложнений.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 (стационар),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начала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осложнений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форма оказания медицинской помощи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взрослых,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период.</w:t>
            </w:r>
            <w:proofErr w:type="gramEnd"/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SD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Osl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стопа), от общего числа взрослых пациентов, находящихся под диспансерным наблюдением по поводу сахарного диабета за период;</w:t>
            </w:r>
            <w:proofErr w:type="gramEnd"/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Osl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взрослых пациентов, находящихся под диспансерным наблюдением по поводу сахарного диабета, у которых впервые зарегистрированы осложнения за период (диабетическая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ретинопатия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, диабетическая стопа);</w:t>
            </w:r>
            <w:proofErr w:type="gramEnd"/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SD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общее число взрослых пациентов, находящихся под диспансерным наблюдением по поводу сахарного диабета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является информационный ресурс территориального фонда в части сведений 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лицах, состоящих под диспансерны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 наблюдением (гл.15 Приказ 108н МЗ РФ)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сопутствующий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rPr>
          <w:trHeight w:val="389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Детское население (от 0 до 17 лет включительно)</w:t>
            </w:r>
          </w:p>
        </w:tc>
      </w:tr>
      <w:tr w:rsidR="00942382" w:rsidRPr="000B112D" w:rsidTr="00FA29B5">
        <w:trPr>
          <w:trHeight w:val="411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253F0C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253F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Оценка эффективности профилактических мероприятий</w:t>
            </w:r>
            <w:r w:rsidR="00253F0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и </w:t>
            </w:r>
            <w:r w:rsidR="00253F0C" w:rsidRPr="005977F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диспансерного наблюдения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6F0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01EE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Охват вакцинацией детей в рамках Национального календаря прививок</w:t>
            </w:r>
            <w:r w:rsidRPr="00835EE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bookmarkStart w:id="0" w:name="_GoBack"/>
            <w:bookmarkEnd w:id="0"/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Vd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нац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Pd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нац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Vd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процент охвата вакцинацией детей в рамках Национального календаря прививок в отчетном периоде;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вакцинированных детей в рамках Национального календаря прививок в отчетном периоде;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Pd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нац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число детей соответствующего возраста (согласно Национальному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календарю прививок) на начало отчетного периода.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 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6F01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6F01EE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Ddkms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Cdkms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Cpkms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костно-мышечной системы и соединительной ткани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костно-мышечной системы и соединительной ткани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Cpkms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костно-мышечной системы и соединительной ткани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6F01EE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Ddgl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Cdgl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Cpgl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глаза и его придаточного аппарата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глаза и его придаточного аппарата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Cpgl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глаза и его придаточного аппарата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Dbop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Cdbop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Cpbop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органов пищеварения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</w:t>
            </w:r>
            <w:r w:rsidRPr="000B112D">
              <w:rPr>
                <w:rFonts w:ascii="Times New Roman" w:eastAsia="Times New Roman" w:hAnsi="Times New Roman" w:cs="Times New Roman"/>
                <w:strike/>
                <w:sz w:val="24"/>
                <w:szCs w:val="24"/>
              </w:rPr>
              <w:t>в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отношении которых установлено диспансерное наблюдение по поводу болезней органов пищеварения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Cpbop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органов пищеварения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19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ParaPr>
                <m:jc m:val="center"/>
              </m:oMathParaPr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Ddbsk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Cdbsk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Cpbsk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70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детей, в отношении которых установлено диспансерное наблюдение по поводу болезней системы кровообращения за период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системы кровообращения за период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Cpbsk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системы кровообращения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2F0FA0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детей,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Ddbes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i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Cdbes</m:t>
                    </m:r>
                  </m:num>
                  <m:den>
                    <m:r>
                      <w:rPr>
                        <w:rFonts w:ascii="Cambria Math" w:eastAsia="Times New Roman" w:hAnsi="Cambria Math" w:cs="Times New Roman"/>
                        <w:sz w:val="24"/>
                        <w:szCs w:val="24"/>
                      </w:rPr>
                      <m:t>Cpbes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Ddbes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доля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детей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отношении которых установлено диспансерное наблюдение по поводу болезней эндокринной системы, расстройства питания и нарушения обмена веществ за период, от общего числа детей с впервые в жизни установленными диагнозами болезней эндокринной системы, расстройства питания и нарушения обмена веществ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Cdbes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число детей, в отношении которых установлено диспансерное наблюдение по поводу болезней эндокринной системы, расстройства питания и нарушения обмена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веществ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Cpbes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общее число детей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впервые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жизни установленными диагнозами болезней эндокринной системы, расстройства питания и нарушения обмена веществ за период.</w:t>
            </w:r>
          </w:p>
        </w:tc>
        <w:tc>
          <w:tcPr>
            <w:tcW w:w="1349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18" w:type="dxa"/>
            <w:gridSpan w:val="2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реестры, оказанной медицинской помощи застрахованным лицам.</w:t>
            </w:r>
          </w:p>
          <w:p w:rsidR="00942382" w:rsidRPr="000B112D" w:rsidRDefault="00942382" w:rsidP="00C74952">
            <w:pPr>
              <w:spacing w:after="0"/>
              <w:ind w:firstLine="386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Отбор информации для расчета показателей осуществляется по полям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рождения;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-дата окончания лечения;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-диагноз основной;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-впервые выявлено (основной);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-характер заболевания;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-цель посещения.</w:t>
            </w:r>
          </w:p>
        </w:tc>
      </w:tr>
      <w:tr w:rsidR="00942382" w:rsidRPr="000B112D" w:rsidTr="00FA29B5">
        <w:trPr>
          <w:trHeight w:val="415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        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Оказание акушерско-гинекологической помощи </w:t>
            </w:r>
          </w:p>
        </w:tc>
      </w:tr>
      <w:tr w:rsidR="00942382" w:rsidRPr="000B112D" w:rsidTr="00FA29B5">
        <w:trPr>
          <w:trHeight w:val="421"/>
        </w:trPr>
        <w:tc>
          <w:tcPr>
            <w:tcW w:w="14737" w:type="dxa"/>
            <w:gridSpan w:val="7"/>
            <w:shd w:val="clear" w:color="auto" w:fill="auto"/>
            <w:vAlign w:val="center"/>
            <w:hideMark/>
          </w:tcPr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                                                                  </w:t>
            </w:r>
            <w:r w:rsidRPr="000B11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Оценка эффективности профилактических мероприятий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2F0FA0">
            <w:pPr>
              <w:rPr>
                <w:rFonts w:ascii="Times New Roman" w:hAnsi="Times New Roman" w:cs="Times New Roman"/>
              </w:rPr>
            </w:pPr>
            <w:r w:rsidRPr="000B112D">
              <w:rPr>
                <w:rFonts w:ascii="Times New Roman" w:hAnsi="Times New Roman" w:cs="Times New Roman"/>
              </w:rPr>
              <w:t>2</w:t>
            </w:r>
            <w:r w:rsidR="002F0FA0">
              <w:rPr>
                <w:rFonts w:ascii="Times New Roman" w:hAnsi="Times New Roman" w:cs="Times New Roman"/>
              </w:rPr>
              <w:t>1</w:t>
            </w:r>
            <w:r w:rsidRPr="000B112D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W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  <m:r>
                      <w:rPr>
                        <w:rFonts w:ascii="Cambria Math" w:eastAsia="Cambria Math" w:hAnsi="Cambria Math" w:cs="Cambria Math"/>
                        <w:sz w:val="14"/>
                        <w:szCs w:val="14"/>
                      </w:rPr>
                      <m:t>отк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K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spacing w:after="0"/>
              <w:ind w:left="34" w:right="-14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W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</w:t>
            </w:r>
            <w:r w:rsidRPr="000B112D"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женщин, отказавшихся от искусственного прерывания беременности, от числа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период;</w:t>
            </w:r>
          </w:p>
          <w:p w:rsidR="00942382" w:rsidRPr="000B112D" w:rsidRDefault="00942382" w:rsidP="00C74952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отк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отказавшихся от искусственного прерывания беременности; </w:t>
            </w:r>
          </w:p>
          <w:p w:rsidR="00942382" w:rsidRPr="000B112D" w:rsidRDefault="00942382" w:rsidP="00C74952">
            <w:pPr>
              <w:spacing w:after="0"/>
              <w:ind w:left="34" w:right="-125" w:hanging="3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 – общее число женщин, прошедших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доабортное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консультирование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ind w:firstLine="40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942382" w:rsidP="002F0FA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F0FA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5814E6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5814E6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Vb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covid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Fb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Pb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covid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5814E6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5814E6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Vb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доля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период, от числа женщин, состоящих на учете по беременности и родам на начало периода;</w:t>
            </w:r>
          </w:p>
          <w:p w:rsidR="00942382" w:rsidRPr="005814E6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фактическое число беременных женщин, вакцинированных от </w:t>
            </w: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коронавирусной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инфекции COVID-19, за период;</w:t>
            </w:r>
          </w:p>
          <w:p w:rsidR="00942382" w:rsidRPr="005814E6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женщин, состоящих на учете по беременности и родам на начало </w:t>
            </w:r>
            <w:r w:rsidRPr="005814E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периода.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 и данные федерального регистра вакцинированных (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Fb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>covid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42382" w:rsidRPr="000B112D" w:rsidTr="00FA29B5">
        <w:tc>
          <w:tcPr>
            <w:tcW w:w="704" w:type="dxa"/>
            <w:shd w:val="clear" w:color="auto" w:fill="auto"/>
          </w:tcPr>
          <w:p w:rsidR="00942382" w:rsidRPr="000B112D" w:rsidRDefault="00AF49A8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23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шм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шм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шейки матки, выявленным впервые при диспансеризации, от общего числа женщин с установленным диагнозом злокачественное новообразование шейки матки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число женщин с установленным диагнозом злокачественное новообразование шейки матки, выявленным впервые при диспансеризации;</w:t>
            </w:r>
          </w:p>
          <w:p w:rsidR="00942382" w:rsidRPr="000B112D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шм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шейки матки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показателя производится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Файл со сведениями при осуществлении персонифицированного учета оказанной медицинской помощи при подозрении на злокачественное новообразование или установленном диагнозе злокачественного новообразования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 характер основного заболевания</w:t>
            </w:r>
          </w:p>
        </w:tc>
      </w:tr>
      <w:tr w:rsidR="00942382" w:rsidRPr="000B112D" w:rsidTr="00FA29B5">
        <w:trPr>
          <w:trHeight w:val="155"/>
        </w:trPr>
        <w:tc>
          <w:tcPr>
            <w:tcW w:w="704" w:type="dxa"/>
            <w:shd w:val="clear" w:color="auto" w:fill="auto"/>
          </w:tcPr>
          <w:p w:rsidR="00942382" w:rsidRPr="000B112D" w:rsidRDefault="00AF49A8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24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AF49A8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4822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>Z</m:t>
                </m:r>
                <m:r>
                  <w:rPr>
                    <w:rFonts w:ascii="Cambria Math" w:eastAsia="Cambria Math" w:hAnsi="Cambria Math" w:cs="Cambria Math"/>
                    <w:sz w:val="24"/>
                    <w:szCs w:val="24"/>
                    <w:vertAlign w:val="subscript"/>
                  </w:rPr>
                  <m:t>мж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  <w:vertAlign w:val="subscript"/>
                  </w:rPr>
                  <m:t xml:space="preserve">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A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V</m:t>
                    </m:r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  <m:t>мж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Z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доля женщин с установленным диагнозом злокачественное новообразование молочной железы, выявленным впервые при диспансеризации, от общего числа женщин с установленным диагнозом злокачественное новообразование молочной железы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A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–ч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исло женщин с установленным диагнозом злокачественное новообразование молочной железы,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выявленным впервые при диспансеризации;</w:t>
            </w:r>
          </w:p>
          <w:p w:rsidR="00942382" w:rsidRPr="000B112D" w:rsidRDefault="00942382" w:rsidP="00C74952">
            <w:pPr>
              <w:tabs>
                <w:tab w:val="left" w:pos="993"/>
              </w:tabs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V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мж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– общее число женщин с установленным диагнозом злокачественное новообразование молочной железы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Расчет осуществляется путем отбора информации по полям реестра формата Д3 «Файл со сведениями об оказанной медицинской помощи при диспансеризации» предусматривает поле реестра: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признак подозрения на злокачественное новообразование.  </w:t>
            </w:r>
          </w:p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 дальнейшем движение пациента возможно отследить по формату Д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Файл со сведениями при осуществлении персонифицированного учета оказанной медицинской помощи при подозрении на злокачественное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новообразование или установленном диагнозе злокачественного новообразования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диагноз основной,</w:t>
            </w:r>
          </w:p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- характер основного заболевания.</w:t>
            </w:r>
          </w:p>
        </w:tc>
      </w:tr>
      <w:tr w:rsidR="00942382" w:rsidRPr="000B112D" w:rsidTr="00FA29B5">
        <w:trPr>
          <w:trHeight w:val="79"/>
        </w:trPr>
        <w:tc>
          <w:tcPr>
            <w:tcW w:w="704" w:type="dxa"/>
            <w:shd w:val="clear" w:color="auto" w:fill="auto"/>
          </w:tcPr>
          <w:p w:rsidR="00942382" w:rsidRPr="000B112D" w:rsidRDefault="00290751" w:rsidP="00C7495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25</w:t>
            </w:r>
            <w:r w:rsidR="00942382"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  <w:hideMark/>
          </w:tcPr>
          <w:p w:rsidR="00942382" w:rsidRPr="000B112D" w:rsidRDefault="00942382" w:rsidP="00290751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период.</w:t>
            </w:r>
          </w:p>
        </w:tc>
        <w:tc>
          <w:tcPr>
            <w:tcW w:w="4822" w:type="dxa"/>
            <w:shd w:val="clear" w:color="auto" w:fill="auto"/>
          </w:tcPr>
          <w:p w:rsidR="00942382" w:rsidRPr="000B112D" w:rsidRDefault="00942382" w:rsidP="00C74952">
            <w:pPr>
              <w:spacing w:after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m:oMathPara>
              <m:oMath>
                <m:r>
                  <w:rPr>
                    <w:rFonts w:ascii="Cambria Math" w:eastAsia="Cambria Math" w:hAnsi="Cambria Math" w:cs="Cambria Math"/>
                    <w:sz w:val="24"/>
                    <w:szCs w:val="24"/>
                  </w:rPr>
                  <m:t xml:space="preserve">B </m:t>
                </m:r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=</m:t>
                </m:r>
                <m:f>
                  <m:fPr>
                    <m:ctrlPr>
                      <w:rPr>
                        <w:rFonts w:ascii="Cambria Math" w:eastAsia="Cambria Math" w:hAnsi="Cambria Math" w:cs="Cambria Math"/>
                        <w:sz w:val="24"/>
                        <w:szCs w:val="24"/>
                        <w:vertAlign w:val="subscript"/>
                      </w:rPr>
                    </m:ctrlPr>
                  </m:fPr>
                  <m:num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>S</m:t>
                    </m:r>
                  </m:num>
                  <m:den>
                    <m:r>
                      <w:rPr>
                        <w:rFonts w:ascii="Cambria Math" w:eastAsia="Cambria Math" w:hAnsi="Cambria Math" w:cs="Cambria Math"/>
                        <w:sz w:val="24"/>
                        <w:szCs w:val="24"/>
                      </w:rPr>
                      <m:t xml:space="preserve">U </m:t>
                    </m:r>
                  </m:den>
                </m:f>
                <m:r>
                  <w:rPr>
                    <w:rFonts w:ascii="Cambria Math" w:eastAsia="Times New Roman" w:hAnsi="Cambria Math" w:cs="Times New Roman"/>
                    <w:sz w:val="24"/>
                    <w:szCs w:val="24"/>
                  </w:rPr>
                  <m:t>×100,</m:t>
                </m:r>
              </m:oMath>
            </m:oMathPara>
          </w:p>
          <w:p w:rsidR="00942382" w:rsidRPr="000B112D" w:rsidRDefault="00942382" w:rsidP="00C74952">
            <w:pPr>
              <w:spacing w:after="0"/>
              <w:ind w:firstLine="31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где: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В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proofErr w:type="gram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доля</w:t>
            </w:r>
            <w:proofErr w:type="gram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беременных женщин, прошедших скрининг в части оценки антенатального развития плода за период, от общего числа женщин, состоявших на учете по поводу беременности и родов за период;</w:t>
            </w:r>
          </w:p>
          <w:p w:rsidR="00942382" w:rsidRPr="000B112D" w:rsidRDefault="00942382" w:rsidP="00C74952">
            <w:pPr>
              <w:widowControl w:val="0"/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 – число беременных женщин, прошедших скрининг в части оценки антенатального развития плода при сроке беременности 11-14 недель (УЗИ и определение материнских сывороточных маркеров) и 19-21 неделя (УЗИ),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период;</w:t>
            </w:r>
          </w:p>
          <w:p w:rsidR="00942382" w:rsidRPr="000B112D" w:rsidRDefault="00942382" w:rsidP="00C74952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U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  <w:vertAlign w:val="subscript"/>
              </w:rPr>
              <w:t xml:space="preserve"> </w:t>
            </w: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общее число женщин, состоявших на учете по поводу беременности и родов за период, с </w:t>
            </w:r>
            <w:proofErr w:type="spellStart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родоразрешением</w:t>
            </w:r>
            <w:proofErr w:type="spellEnd"/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 период.</w:t>
            </w:r>
          </w:p>
        </w:tc>
        <w:tc>
          <w:tcPr>
            <w:tcW w:w="1335" w:type="dxa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Процент</w:t>
            </w:r>
          </w:p>
        </w:tc>
        <w:tc>
          <w:tcPr>
            <w:tcW w:w="4332" w:type="dxa"/>
            <w:gridSpan w:val="3"/>
            <w:shd w:val="clear" w:color="auto" w:fill="auto"/>
            <w:hideMark/>
          </w:tcPr>
          <w:p w:rsidR="00942382" w:rsidRPr="000B112D" w:rsidRDefault="00942382" w:rsidP="00C74952">
            <w:pPr>
              <w:spacing w:after="0"/>
              <w:ind w:firstLine="4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B112D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Источником информации являются данные органов государственной власти субъектов Российской Федерации в сфере охраны здоровья, предоставляемые на бумажных носителях.</w:t>
            </w:r>
          </w:p>
        </w:tc>
      </w:tr>
    </w:tbl>
    <w:p w:rsidR="005977F0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5977F0" w:rsidRPr="00931CE0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* по набору кодов Международной статистической классификацией болезней и проблем, связанных со здоровьем, десятого пересмотра (МКБ-10)</w:t>
      </w:r>
    </w:p>
    <w:p w:rsidR="005977F0" w:rsidRPr="009C2A0D" w:rsidRDefault="005977F0" w:rsidP="005977F0">
      <w:pPr>
        <w:spacing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** в условиях распространения новой </w:t>
      </w:r>
      <w:proofErr w:type="spellStart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>коронавирусной</w:t>
      </w:r>
      <w:proofErr w:type="spellEnd"/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инфекции (COVID–19) методика расчёта показателя может быть скорректирована на предмет исключения из расчёта периода, когда деятельность медицинской организации (в части соответствующего направления деятельности) была приостановлена приказом руководителя медицинской организации </w:t>
      </w:r>
      <w:r w:rsidRPr="00931CE0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за отчётный и предыдущий год соответственно путём пересчёта к годовому значению</w:t>
      </w:r>
    </w:p>
    <w:p w:rsidR="00D46F8D" w:rsidRPr="00EC15FC" w:rsidRDefault="00D46F8D">
      <w:pPr>
        <w:rPr>
          <w:sz w:val="24"/>
          <w:szCs w:val="24"/>
        </w:rPr>
      </w:pPr>
    </w:p>
    <w:sectPr w:rsidR="00D46F8D" w:rsidRPr="00EC15FC" w:rsidSect="00C74952">
      <w:pgSz w:w="16838" w:h="11906" w:orient="landscape"/>
      <w:pgMar w:top="709" w:right="1134" w:bottom="851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382"/>
    <w:rsid w:val="0017191C"/>
    <w:rsid w:val="00183772"/>
    <w:rsid w:val="001A7A55"/>
    <w:rsid w:val="00253F0C"/>
    <w:rsid w:val="00290751"/>
    <w:rsid w:val="002B7BE9"/>
    <w:rsid w:val="002F0FA0"/>
    <w:rsid w:val="0039011F"/>
    <w:rsid w:val="00394DBA"/>
    <w:rsid w:val="005977F0"/>
    <w:rsid w:val="005A2084"/>
    <w:rsid w:val="00686192"/>
    <w:rsid w:val="006F01EE"/>
    <w:rsid w:val="007F783D"/>
    <w:rsid w:val="00835EE1"/>
    <w:rsid w:val="00847312"/>
    <w:rsid w:val="008B1561"/>
    <w:rsid w:val="00942382"/>
    <w:rsid w:val="00A420EC"/>
    <w:rsid w:val="00AF49A8"/>
    <w:rsid w:val="00BE2338"/>
    <w:rsid w:val="00BE69E6"/>
    <w:rsid w:val="00C74952"/>
    <w:rsid w:val="00CD2F37"/>
    <w:rsid w:val="00D46F8D"/>
    <w:rsid w:val="00E6662E"/>
    <w:rsid w:val="00EC15FC"/>
    <w:rsid w:val="00EF0A73"/>
    <w:rsid w:val="00F0227B"/>
    <w:rsid w:val="00F0575B"/>
    <w:rsid w:val="00F22A5C"/>
    <w:rsid w:val="00F60FF6"/>
    <w:rsid w:val="00FA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8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2382"/>
    <w:pPr>
      <w:spacing w:after="160"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4238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9423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4238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F1A35-6E73-4C24-9BFE-C8BDA32941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15</Pages>
  <Words>4638</Words>
  <Characters>26443</Characters>
  <Application>Microsoft Office Word</Application>
  <DocSecurity>0</DocSecurity>
  <Lines>220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liv</dc:creator>
  <cp:lastModifiedBy>Левочко Ирина Викторовна</cp:lastModifiedBy>
  <cp:revision>21</cp:revision>
  <dcterms:created xsi:type="dcterms:W3CDTF">2023-05-15T07:41:00Z</dcterms:created>
  <dcterms:modified xsi:type="dcterms:W3CDTF">2024-02-07T23:18:00Z</dcterms:modified>
</cp:coreProperties>
</file>