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99" w:rsidRPr="00E02ED3" w:rsidRDefault="00087D01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Pr="00E02ED3">
        <w:rPr>
          <w:rFonts w:ascii="Times New Roman" w:hAnsi="Times New Roman"/>
          <w:b/>
          <w:sz w:val="28"/>
          <w:szCs w:val="28"/>
        </w:rPr>
        <w:t>8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>о внесении изменений в Тарифное соглашение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 xml:space="preserve"> на медицинскую помощь в системе 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 xml:space="preserve">обязательного медицинского страхования </w:t>
      </w:r>
      <w:r w:rsidRPr="007513F9">
        <w:rPr>
          <w:rFonts w:ascii="Times New Roman" w:hAnsi="Times New Roman"/>
          <w:b/>
          <w:sz w:val="28"/>
          <w:szCs w:val="28"/>
        </w:rPr>
        <w:br/>
        <w:t>Забайкальского края на 2024 год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 xml:space="preserve">г. Чита                                                                    </w:t>
      </w:r>
      <w:r w:rsidR="008734B2">
        <w:rPr>
          <w:rFonts w:ascii="Times New Roman" w:hAnsi="Times New Roman"/>
          <w:sz w:val="28"/>
          <w:szCs w:val="28"/>
        </w:rPr>
        <w:t xml:space="preserve">            </w:t>
      </w:r>
      <w:r w:rsidRPr="007513F9">
        <w:rPr>
          <w:rFonts w:ascii="Times New Roman" w:hAnsi="Times New Roman"/>
          <w:sz w:val="28"/>
          <w:szCs w:val="28"/>
        </w:rPr>
        <w:t xml:space="preserve"> </w:t>
      </w:r>
      <w:r w:rsidR="003667B5">
        <w:rPr>
          <w:rFonts w:ascii="Times New Roman" w:hAnsi="Times New Roman"/>
          <w:sz w:val="28"/>
          <w:szCs w:val="28"/>
        </w:rPr>
        <w:t>20 декабря</w:t>
      </w:r>
      <w:r w:rsidRPr="007513F9">
        <w:rPr>
          <w:rFonts w:ascii="Times New Roman" w:hAnsi="Times New Roman"/>
          <w:sz w:val="28"/>
          <w:szCs w:val="28"/>
        </w:rPr>
        <w:t xml:space="preserve"> 2024года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F25E99" w:rsidRPr="007513F9" w:rsidRDefault="00F25E99" w:rsidP="008734B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Мы, нижеподписавшиеся:</w:t>
      </w:r>
    </w:p>
    <w:p w:rsidR="002A199C" w:rsidRPr="007513F9" w:rsidRDefault="00F25E99" w:rsidP="008734B2">
      <w:pPr>
        <w:pStyle w:val="a5"/>
        <w:ind w:hanging="851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ab/>
      </w:r>
      <w:r w:rsidRPr="007513F9">
        <w:rPr>
          <w:rFonts w:ascii="Times New Roman" w:hAnsi="Times New Roman"/>
          <w:sz w:val="28"/>
          <w:szCs w:val="28"/>
        </w:rPr>
        <w:tab/>
      </w:r>
      <w:proofErr w:type="spellStart"/>
      <w:r w:rsidR="003667B5">
        <w:rPr>
          <w:rFonts w:ascii="Times New Roman" w:hAnsi="Times New Roman"/>
          <w:sz w:val="28"/>
          <w:szCs w:val="28"/>
        </w:rPr>
        <w:t>Немакина</w:t>
      </w:r>
      <w:proofErr w:type="spellEnd"/>
      <w:r w:rsidR="003667B5">
        <w:rPr>
          <w:rFonts w:ascii="Times New Roman" w:hAnsi="Times New Roman"/>
          <w:sz w:val="28"/>
          <w:szCs w:val="28"/>
        </w:rPr>
        <w:t xml:space="preserve"> Оксана Владимировна</w:t>
      </w:r>
      <w:r w:rsidRPr="007513F9">
        <w:rPr>
          <w:rFonts w:ascii="Times New Roman" w:hAnsi="Times New Roman"/>
          <w:sz w:val="28"/>
          <w:szCs w:val="28"/>
        </w:rPr>
        <w:t xml:space="preserve"> – </w:t>
      </w:r>
      <w:r w:rsidR="003667B5">
        <w:rPr>
          <w:rFonts w:ascii="Times New Roman" w:hAnsi="Times New Roman"/>
          <w:sz w:val="28"/>
          <w:szCs w:val="28"/>
        </w:rPr>
        <w:t>министр здравоохранения Забайкальского края</w:t>
      </w:r>
      <w:r w:rsidRPr="007513F9">
        <w:rPr>
          <w:rFonts w:ascii="Times New Roman" w:hAnsi="Times New Roman"/>
          <w:sz w:val="28"/>
          <w:szCs w:val="28"/>
        </w:rPr>
        <w:t>, председатель Комиссии;</w:t>
      </w:r>
    </w:p>
    <w:p w:rsidR="002A199C" w:rsidRPr="007513F9" w:rsidRDefault="00F25E99" w:rsidP="008734B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Чабан Сергей Николаевич - директор территориального фонда обязательного медицинского страхования Забайкальского края;</w:t>
      </w:r>
    </w:p>
    <w:p w:rsidR="002A199C" w:rsidRPr="003667B5" w:rsidRDefault="00F25E99" w:rsidP="008734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13F9">
        <w:rPr>
          <w:sz w:val="28"/>
          <w:szCs w:val="28"/>
        </w:rPr>
        <w:tab/>
      </w:r>
      <w:r w:rsidR="003667B5">
        <w:rPr>
          <w:rFonts w:ascii="Times New Roman" w:hAnsi="Times New Roman" w:cs="Times New Roman"/>
          <w:sz w:val="28"/>
          <w:szCs w:val="28"/>
        </w:rPr>
        <w:t xml:space="preserve">Назарова Ольга Анатольевна </w:t>
      </w:r>
      <w:r w:rsidRPr="003667B5">
        <w:rPr>
          <w:rFonts w:ascii="Times New Roman" w:hAnsi="Times New Roman" w:cs="Times New Roman"/>
          <w:sz w:val="28"/>
          <w:szCs w:val="28"/>
        </w:rPr>
        <w:t>-</w:t>
      </w:r>
      <w:r w:rsidR="003667B5" w:rsidRPr="003667B5">
        <w:rPr>
          <w:rFonts w:ascii="Times New Roman" w:hAnsi="Times New Roman" w:cs="Times New Roman"/>
          <w:sz w:val="28"/>
          <w:szCs w:val="28"/>
        </w:rPr>
        <w:t xml:space="preserve"> председатель Забайкальской краевой </w:t>
      </w:r>
      <w:proofErr w:type="gramStart"/>
      <w:r w:rsidR="003667B5" w:rsidRPr="003667B5">
        <w:rPr>
          <w:rFonts w:ascii="Times New Roman" w:hAnsi="Times New Roman" w:cs="Times New Roman"/>
          <w:sz w:val="28"/>
          <w:szCs w:val="28"/>
        </w:rPr>
        <w:t>организации профсоюза работников здравоохранения Российской Федерации</w:t>
      </w:r>
      <w:proofErr w:type="gramEnd"/>
      <w:r w:rsidRPr="003667B5">
        <w:rPr>
          <w:rFonts w:ascii="Times New Roman" w:hAnsi="Times New Roman" w:cs="Times New Roman"/>
          <w:sz w:val="28"/>
          <w:szCs w:val="28"/>
        </w:rPr>
        <w:t>;</w:t>
      </w:r>
    </w:p>
    <w:p w:rsidR="002A199C" w:rsidRPr="007513F9" w:rsidRDefault="00F25E99" w:rsidP="0087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</w:r>
      <w:r w:rsidR="00757CE7">
        <w:rPr>
          <w:sz w:val="28"/>
          <w:szCs w:val="28"/>
        </w:rPr>
        <w:t>Сергей Анатольевич Лукьянов</w:t>
      </w:r>
      <w:r w:rsidRPr="007513F9">
        <w:rPr>
          <w:sz w:val="28"/>
          <w:szCs w:val="28"/>
        </w:rPr>
        <w:t xml:space="preserve"> -</w:t>
      </w:r>
      <w:r w:rsidR="00757CE7">
        <w:rPr>
          <w:sz w:val="28"/>
          <w:szCs w:val="28"/>
        </w:rPr>
        <w:t xml:space="preserve"> </w:t>
      </w:r>
      <w:r w:rsidR="00757CE7" w:rsidRPr="00F9639E">
        <w:rPr>
          <w:sz w:val="28"/>
          <w:szCs w:val="28"/>
        </w:rPr>
        <w:t>президент Ассоциации Медиков «Заб</w:t>
      </w:r>
      <w:r w:rsidR="00757CE7">
        <w:rPr>
          <w:sz w:val="28"/>
          <w:szCs w:val="28"/>
        </w:rPr>
        <w:t>айкальская медицинская палата»;</w:t>
      </w:r>
    </w:p>
    <w:p w:rsidR="002A199C" w:rsidRPr="007513F9" w:rsidRDefault="00F25E99" w:rsidP="008734B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</w:r>
      <w:proofErr w:type="spellStart"/>
      <w:r w:rsidR="00594F9A">
        <w:rPr>
          <w:sz w:val="28"/>
          <w:szCs w:val="28"/>
        </w:rPr>
        <w:t>Бутько</w:t>
      </w:r>
      <w:proofErr w:type="spellEnd"/>
      <w:r w:rsidR="00594F9A">
        <w:rPr>
          <w:sz w:val="28"/>
          <w:szCs w:val="28"/>
        </w:rPr>
        <w:t xml:space="preserve"> Василий Николаевич</w:t>
      </w:r>
      <w:r w:rsidRPr="007513F9">
        <w:rPr>
          <w:sz w:val="28"/>
          <w:szCs w:val="28"/>
        </w:rPr>
        <w:t xml:space="preserve"> –</w:t>
      </w:r>
      <w:r w:rsidR="003667B5">
        <w:rPr>
          <w:sz w:val="28"/>
          <w:szCs w:val="28"/>
        </w:rPr>
        <w:t xml:space="preserve"> генеральный</w:t>
      </w:r>
      <w:r w:rsidRPr="007513F9">
        <w:rPr>
          <w:sz w:val="28"/>
          <w:szCs w:val="28"/>
        </w:rPr>
        <w:t xml:space="preserve"> директор </w:t>
      </w:r>
      <w:r w:rsidR="00594F9A">
        <w:rPr>
          <w:sz w:val="28"/>
          <w:szCs w:val="28"/>
        </w:rPr>
        <w:t>ООО СМК</w:t>
      </w:r>
      <w:r w:rsidRPr="007513F9">
        <w:rPr>
          <w:sz w:val="28"/>
          <w:szCs w:val="28"/>
        </w:rPr>
        <w:t xml:space="preserve"> «</w:t>
      </w:r>
      <w:proofErr w:type="spellStart"/>
      <w:r w:rsidRPr="007513F9">
        <w:rPr>
          <w:sz w:val="28"/>
          <w:szCs w:val="28"/>
        </w:rPr>
        <w:t>Забайкалмедстрах</w:t>
      </w:r>
      <w:proofErr w:type="spellEnd"/>
      <w:r w:rsidRPr="007513F9">
        <w:rPr>
          <w:sz w:val="28"/>
          <w:szCs w:val="28"/>
        </w:rPr>
        <w:t xml:space="preserve">», </w:t>
      </w:r>
    </w:p>
    <w:p w:rsidR="00F25E99" w:rsidRPr="00757CE7" w:rsidRDefault="00F25E99" w:rsidP="008734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7CE7">
        <w:rPr>
          <w:sz w:val="28"/>
          <w:szCs w:val="28"/>
        </w:rPr>
        <w:t>решили внести следующие изменения в Тарифное соглашение на медицинскую помощь в системе обязательного медицинского страхования Забайкальского края на 2024 год (далее - Тарифное соглашение):</w:t>
      </w:r>
    </w:p>
    <w:p w:rsidR="008B4C88" w:rsidRPr="00757CE7" w:rsidRDefault="008B4C88" w:rsidP="008734B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C682C" w:rsidRDefault="00757CE7" w:rsidP="008734B2">
      <w:pPr>
        <w:shd w:val="clear" w:color="auto" w:fill="FFFFFF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1. </w:t>
      </w:r>
      <w:r w:rsidR="008C682C">
        <w:rPr>
          <w:sz w:val="28"/>
          <w:szCs w:val="28"/>
        </w:rPr>
        <w:t xml:space="preserve">В пункте 3.7. раздела </w:t>
      </w:r>
      <w:r w:rsidR="008C682C">
        <w:rPr>
          <w:sz w:val="28"/>
          <w:szCs w:val="28"/>
          <w:lang w:val="en-US"/>
        </w:rPr>
        <w:t>III</w:t>
      </w:r>
      <w:r w:rsidR="008C682C">
        <w:rPr>
          <w:sz w:val="28"/>
          <w:szCs w:val="28"/>
        </w:rPr>
        <w:t>. «Тарифы на оплату медицинской помощи» заменить абзац:</w:t>
      </w:r>
    </w:p>
    <w:p w:rsidR="008C682C" w:rsidRDefault="008C682C" w:rsidP="008734B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965A6"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 w:rsidRPr="00B965A6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Pr="00B965A6"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составляет  2478,77 рублей, в том числе на период с сентября по декабрь 2024 года - 825,76.</w:t>
      </w:r>
      <w:r w:rsidRPr="00B965A6">
        <w:rPr>
          <w:sz w:val="28"/>
          <w:szCs w:val="28"/>
        </w:rPr>
        <w:t>».</w:t>
      </w:r>
    </w:p>
    <w:p w:rsidR="008C682C" w:rsidRDefault="008C682C" w:rsidP="008734B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абзацем следующего содержания:</w:t>
      </w:r>
    </w:p>
    <w:p w:rsidR="008C682C" w:rsidRDefault="008C682C" w:rsidP="008734B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965A6">
        <w:rPr>
          <w:sz w:val="28"/>
          <w:szCs w:val="28"/>
        </w:rPr>
        <w:t>«</w:t>
      </w:r>
      <w:r w:rsidRPr="00B965A6"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 w:rsidRPr="00B965A6">
        <w:rPr>
          <w:rFonts w:eastAsia="Calibri"/>
          <w:sz w:val="28"/>
          <w:szCs w:val="28"/>
          <w:lang w:eastAsia="en-US"/>
        </w:rPr>
        <w:t>подушевого</w:t>
      </w:r>
      <w:proofErr w:type="spellEnd"/>
      <w:r w:rsidRPr="00B965A6"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составляет  2</w:t>
      </w:r>
      <w:r>
        <w:rPr>
          <w:rFonts w:eastAsia="Calibri"/>
          <w:sz w:val="28"/>
          <w:szCs w:val="28"/>
          <w:lang w:eastAsia="en-US"/>
        </w:rPr>
        <w:t>496,11</w:t>
      </w:r>
      <w:r w:rsidRPr="00B965A6">
        <w:rPr>
          <w:rFonts w:eastAsia="Calibri"/>
          <w:sz w:val="28"/>
          <w:szCs w:val="28"/>
          <w:lang w:eastAsia="en-US"/>
        </w:rPr>
        <w:t xml:space="preserve"> рублей, в том числе на </w:t>
      </w:r>
      <w:r>
        <w:rPr>
          <w:rFonts w:eastAsia="Calibri"/>
          <w:sz w:val="28"/>
          <w:szCs w:val="28"/>
          <w:lang w:eastAsia="en-US"/>
        </w:rPr>
        <w:t>ноябрь</w:t>
      </w:r>
      <w:r w:rsidRPr="00B965A6">
        <w:rPr>
          <w:rFonts w:eastAsia="Calibri"/>
          <w:sz w:val="28"/>
          <w:szCs w:val="28"/>
          <w:lang w:eastAsia="en-US"/>
        </w:rPr>
        <w:t xml:space="preserve"> 2024 года </w:t>
      </w:r>
      <w:r>
        <w:rPr>
          <w:rFonts w:eastAsia="Calibri"/>
          <w:sz w:val="28"/>
          <w:szCs w:val="28"/>
          <w:lang w:eastAsia="en-US"/>
        </w:rPr>
        <w:t>–</w:t>
      </w:r>
      <w:r w:rsidRPr="00B965A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316,68 руб</w:t>
      </w:r>
      <w:r w:rsidRPr="00B965A6">
        <w:rPr>
          <w:rFonts w:eastAsia="Calibri"/>
          <w:sz w:val="28"/>
          <w:szCs w:val="28"/>
          <w:lang w:eastAsia="en-US"/>
        </w:rPr>
        <w:t>.</w:t>
      </w:r>
      <w:r w:rsidRPr="00B965A6">
        <w:rPr>
          <w:sz w:val="28"/>
          <w:szCs w:val="28"/>
        </w:rPr>
        <w:t>».</w:t>
      </w:r>
    </w:p>
    <w:p w:rsidR="002A199C" w:rsidRDefault="002A199C" w:rsidP="008734B2">
      <w:pPr>
        <w:ind w:firstLine="284"/>
        <w:jc w:val="both"/>
        <w:rPr>
          <w:sz w:val="28"/>
          <w:szCs w:val="28"/>
        </w:rPr>
      </w:pPr>
    </w:p>
    <w:p w:rsidR="008C682C" w:rsidRDefault="002A199C" w:rsidP="008734B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682C">
        <w:rPr>
          <w:sz w:val="28"/>
          <w:szCs w:val="28"/>
        </w:rPr>
        <w:t xml:space="preserve">В пункте 3.8 </w:t>
      </w:r>
      <w:r>
        <w:rPr>
          <w:sz w:val="28"/>
          <w:szCs w:val="28"/>
        </w:rPr>
        <w:t xml:space="preserve">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«Тарифы на оплату медицинской помощи» </w:t>
      </w:r>
      <w:r w:rsidR="008C682C">
        <w:rPr>
          <w:sz w:val="28"/>
          <w:szCs w:val="28"/>
        </w:rPr>
        <w:t>заменить абзац:</w:t>
      </w:r>
    </w:p>
    <w:p w:rsidR="008C682C" w:rsidRDefault="008C682C" w:rsidP="008734B2">
      <w:pPr>
        <w:pStyle w:val="docdata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субъекте Российской Федерации, для i-той медицинской организации в расчете дифференцированного </w:t>
      </w:r>
      <w:proofErr w:type="spellStart"/>
      <w:r>
        <w:rPr>
          <w:color w:val="000000"/>
          <w:sz w:val="28"/>
          <w:szCs w:val="28"/>
        </w:rPr>
        <w:t>подушевого</w:t>
      </w:r>
      <w:proofErr w:type="spellEnd"/>
      <w:r>
        <w:rPr>
          <w:color w:val="000000"/>
          <w:sz w:val="28"/>
          <w:szCs w:val="28"/>
        </w:rPr>
        <w:t xml:space="preserve"> норматива финансирования на прикрепившихся лиц не используется. Значение не используемого коэффициента принимается </w:t>
      </w:r>
      <w:proofErr w:type="gramStart"/>
      <w:r>
        <w:rPr>
          <w:color w:val="000000"/>
          <w:sz w:val="28"/>
          <w:szCs w:val="28"/>
        </w:rPr>
        <w:t>равным</w:t>
      </w:r>
      <w:proofErr w:type="gramEnd"/>
      <w:r>
        <w:rPr>
          <w:color w:val="000000"/>
          <w:sz w:val="28"/>
          <w:szCs w:val="28"/>
        </w:rPr>
        <w:t xml:space="preserve"> 1</w:t>
      </w:r>
      <w:r w:rsidR="008734B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</w:t>
      </w:r>
    </w:p>
    <w:p w:rsidR="008C682C" w:rsidRDefault="008C682C" w:rsidP="008734B2">
      <w:pPr>
        <w:pStyle w:val="docdata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абзацем  следующего содержания:</w:t>
      </w:r>
    </w:p>
    <w:p w:rsidR="008C682C" w:rsidRDefault="008C682C" w:rsidP="008734B2">
      <w:pPr>
        <w:pStyle w:val="docdata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«Коэффициент достижения целевых показателей уровня заработной платы медицинских работников, установленных "дорожными картами" </w:t>
      </w:r>
      <w:r>
        <w:rPr>
          <w:color w:val="000000"/>
          <w:sz w:val="28"/>
          <w:szCs w:val="28"/>
        </w:rPr>
        <w:lastRenderedPageBreak/>
        <w:t xml:space="preserve">развития здравоохранения в субъекте Российской Федерации, для i-той медицинской организации в расчете дифференцированного </w:t>
      </w:r>
      <w:proofErr w:type="spellStart"/>
      <w:r>
        <w:rPr>
          <w:color w:val="000000"/>
          <w:sz w:val="28"/>
          <w:szCs w:val="28"/>
        </w:rPr>
        <w:t>подушевого</w:t>
      </w:r>
      <w:proofErr w:type="spellEnd"/>
      <w:r>
        <w:rPr>
          <w:color w:val="000000"/>
          <w:sz w:val="28"/>
          <w:szCs w:val="28"/>
        </w:rPr>
        <w:t xml:space="preserve"> норматива финансирования на прикрепившихся лиц </w:t>
      </w:r>
      <w:r>
        <w:rPr>
          <w:spacing w:val="1"/>
          <w:sz w:val="28"/>
          <w:szCs w:val="28"/>
        </w:rPr>
        <w:t>устанавливается</w:t>
      </w:r>
      <w:r w:rsidRPr="007E00E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в пределах индивидуальных значений»</w:t>
      </w:r>
      <w:r w:rsidR="002A199C">
        <w:rPr>
          <w:spacing w:val="1"/>
          <w:sz w:val="28"/>
          <w:szCs w:val="28"/>
        </w:rPr>
        <w:t>.</w:t>
      </w:r>
    </w:p>
    <w:p w:rsidR="002A199C" w:rsidRPr="008C682C" w:rsidRDefault="002A199C" w:rsidP="008734B2">
      <w:pPr>
        <w:pStyle w:val="docdata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</w:p>
    <w:p w:rsidR="008C682C" w:rsidRDefault="002A199C" w:rsidP="008734B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682C">
        <w:rPr>
          <w:sz w:val="28"/>
          <w:szCs w:val="28"/>
        </w:rPr>
        <w:t>В пункте 3.</w:t>
      </w:r>
      <w:r w:rsidR="008C682C" w:rsidRPr="008F7E94">
        <w:rPr>
          <w:sz w:val="28"/>
          <w:szCs w:val="28"/>
        </w:rPr>
        <w:t>23</w:t>
      </w:r>
      <w:r w:rsidR="008C68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«Тарифы на оплату медицинской помощи» </w:t>
      </w:r>
      <w:r w:rsidR="008C682C">
        <w:rPr>
          <w:sz w:val="28"/>
          <w:szCs w:val="28"/>
        </w:rPr>
        <w:t>заменить абзац:</w:t>
      </w:r>
    </w:p>
    <w:p w:rsidR="008C682C" w:rsidRPr="007E00E9" w:rsidRDefault="008C682C" w:rsidP="008734B2">
      <w:pPr>
        <w:ind w:firstLine="426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«</w:t>
      </w:r>
      <w:r w:rsidRPr="007E00E9">
        <w:rPr>
          <w:color w:val="000000"/>
          <w:sz w:val="28"/>
          <w:szCs w:val="28"/>
        </w:rPr>
        <w:t>Коэффициент уровня расходов медицинских организаций</w:t>
      </w:r>
      <w:proofErr w:type="gramStart"/>
      <w:r w:rsidRPr="007E00E9">
        <w:rPr>
          <w:color w:val="000000"/>
          <w:sz w:val="28"/>
          <w:szCs w:val="28"/>
        </w:rPr>
        <w:t> ,</w:t>
      </w:r>
      <w:proofErr w:type="gramEnd"/>
      <w:r w:rsidRPr="007E00E9">
        <w:rPr>
          <w:color w:val="000000"/>
          <w:sz w:val="28"/>
          <w:szCs w:val="28"/>
        </w:rPr>
        <w:t xml:space="preserve"> 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субъекте Российской Федерации, для i-той медицинской организации в расчете дифференцированного </w:t>
      </w:r>
      <w:proofErr w:type="spellStart"/>
      <w:r w:rsidRPr="007E00E9">
        <w:rPr>
          <w:color w:val="000000"/>
          <w:sz w:val="28"/>
          <w:szCs w:val="28"/>
        </w:rPr>
        <w:t>подушевого</w:t>
      </w:r>
      <w:proofErr w:type="spellEnd"/>
      <w:r w:rsidRPr="007E00E9">
        <w:rPr>
          <w:color w:val="000000"/>
          <w:sz w:val="28"/>
          <w:szCs w:val="28"/>
        </w:rPr>
        <w:t xml:space="preserve"> норматива финансирования скорой медицинской помощи не используются. Значения не используемых коэффициентов принимаются </w:t>
      </w:r>
      <w:proofErr w:type="gramStart"/>
      <w:r w:rsidRPr="007E00E9">
        <w:rPr>
          <w:color w:val="000000"/>
          <w:sz w:val="28"/>
          <w:szCs w:val="28"/>
        </w:rPr>
        <w:t>равными</w:t>
      </w:r>
      <w:proofErr w:type="gramEnd"/>
      <w:r w:rsidRPr="007E00E9">
        <w:rPr>
          <w:color w:val="000000"/>
          <w:sz w:val="28"/>
          <w:szCs w:val="28"/>
        </w:rPr>
        <w:t xml:space="preserve"> 1.</w:t>
      </w:r>
      <w:r>
        <w:rPr>
          <w:color w:val="000000"/>
          <w:sz w:val="28"/>
          <w:szCs w:val="28"/>
        </w:rPr>
        <w:t>»</w:t>
      </w:r>
      <w:r w:rsidRPr="007E00E9">
        <w:rPr>
          <w:color w:val="000000"/>
          <w:sz w:val="28"/>
          <w:szCs w:val="28"/>
        </w:rPr>
        <w:t xml:space="preserve">    </w:t>
      </w:r>
    </w:p>
    <w:p w:rsidR="008C682C" w:rsidRDefault="008C682C" w:rsidP="008734B2">
      <w:pPr>
        <w:pStyle w:val="docdata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     абзацем  следующего содержания:</w:t>
      </w:r>
    </w:p>
    <w:p w:rsidR="008C682C" w:rsidRPr="007E00E9" w:rsidRDefault="008C682C" w:rsidP="008734B2">
      <w:pPr>
        <w:pStyle w:val="docdata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7E00E9">
        <w:rPr>
          <w:color w:val="000000"/>
          <w:sz w:val="28"/>
          <w:szCs w:val="28"/>
        </w:rPr>
        <w:t xml:space="preserve">Коэффициент уровня расходов медицинских организаций  для i-той медицинской организации в расчете дифференцированного </w:t>
      </w:r>
      <w:proofErr w:type="spellStart"/>
      <w:r w:rsidRPr="007E00E9">
        <w:rPr>
          <w:color w:val="000000"/>
          <w:sz w:val="28"/>
          <w:szCs w:val="28"/>
        </w:rPr>
        <w:t>подушевого</w:t>
      </w:r>
      <w:proofErr w:type="spellEnd"/>
      <w:r w:rsidRPr="007E00E9">
        <w:rPr>
          <w:color w:val="000000"/>
          <w:sz w:val="28"/>
          <w:szCs w:val="28"/>
        </w:rPr>
        <w:t xml:space="preserve"> норматива финансирования скорой медицинской помощи не использу</w:t>
      </w:r>
      <w:r>
        <w:rPr>
          <w:color w:val="000000"/>
          <w:sz w:val="28"/>
          <w:szCs w:val="28"/>
        </w:rPr>
        <w:t>е</w:t>
      </w:r>
      <w:r w:rsidRPr="007E00E9">
        <w:rPr>
          <w:color w:val="000000"/>
          <w:sz w:val="28"/>
          <w:szCs w:val="28"/>
        </w:rPr>
        <w:t>тся. Значени</w:t>
      </w:r>
      <w:r>
        <w:rPr>
          <w:color w:val="000000"/>
          <w:sz w:val="28"/>
          <w:szCs w:val="28"/>
        </w:rPr>
        <w:t>е</w:t>
      </w:r>
      <w:r w:rsidRPr="007E00E9">
        <w:rPr>
          <w:color w:val="000000"/>
          <w:sz w:val="28"/>
          <w:szCs w:val="28"/>
        </w:rPr>
        <w:t xml:space="preserve"> не используем</w:t>
      </w:r>
      <w:r>
        <w:rPr>
          <w:color w:val="000000"/>
          <w:sz w:val="28"/>
          <w:szCs w:val="28"/>
        </w:rPr>
        <w:t>ого</w:t>
      </w:r>
      <w:r w:rsidRPr="007E00E9">
        <w:rPr>
          <w:color w:val="000000"/>
          <w:sz w:val="28"/>
          <w:szCs w:val="28"/>
        </w:rPr>
        <w:t xml:space="preserve"> коэффициент</w:t>
      </w:r>
      <w:r>
        <w:rPr>
          <w:color w:val="000000"/>
          <w:sz w:val="28"/>
          <w:szCs w:val="28"/>
        </w:rPr>
        <w:t>а</w:t>
      </w:r>
      <w:r w:rsidRPr="007E00E9">
        <w:rPr>
          <w:color w:val="000000"/>
          <w:sz w:val="28"/>
          <w:szCs w:val="28"/>
        </w:rPr>
        <w:t xml:space="preserve"> принима</w:t>
      </w:r>
      <w:r>
        <w:rPr>
          <w:color w:val="000000"/>
          <w:sz w:val="28"/>
          <w:szCs w:val="28"/>
        </w:rPr>
        <w:t>е</w:t>
      </w:r>
      <w:r w:rsidRPr="007E00E9">
        <w:rPr>
          <w:color w:val="000000"/>
          <w:sz w:val="28"/>
          <w:szCs w:val="28"/>
        </w:rPr>
        <w:t xml:space="preserve">тся </w:t>
      </w:r>
      <w:proofErr w:type="gramStart"/>
      <w:r w:rsidRPr="007E00E9">
        <w:rPr>
          <w:color w:val="000000"/>
          <w:sz w:val="28"/>
          <w:szCs w:val="28"/>
        </w:rPr>
        <w:t>равн</w:t>
      </w:r>
      <w:r>
        <w:rPr>
          <w:color w:val="000000"/>
          <w:sz w:val="28"/>
          <w:szCs w:val="28"/>
        </w:rPr>
        <w:t>ым</w:t>
      </w:r>
      <w:proofErr w:type="gramEnd"/>
      <w:r>
        <w:rPr>
          <w:color w:val="000000"/>
          <w:sz w:val="28"/>
          <w:szCs w:val="28"/>
        </w:rPr>
        <w:t xml:space="preserve"> </w:t>
      </w:r>
      <w:r w:rsidRPr="007E00E9">
        <w:rPr>
          <w:color w:val="000000"/>
          <w:sz w:val="28"/>
          <w:szCs w:val="28"/>
        </w:rPr>
        <w:t>1.  </w:t>
      </w:r>
      <w:r>
        <w:rPr>
          <w:color w:val="000000"/>
          <w:sz w:val="28"/>
          <w:szCs w:val="28"/>
        </w:rPr>
        <w:t>К</w:t>
      </w:r>
      <w:r w:rsidRPr="007E00E9">
        <w:rPr>
          <w:color w:val="000000"/>
          <w:sz w:val="28"/>
          <w:szCs w:val="28"/>
        </w:rPr>
        <w:t xml:space="preserve">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субъекте Российской Федерации,  </w:t>
      </w:r>
      <w:r>
        <w:rPr>
          <w:color w:val="000000"/>
          <w:sz w:val="28"/>
          <w:szCs w:val="28"/>
        </w:rPr>
        <w:t xml:space="preserve">для i-той медицинской организации в расчете дифференцированного </w:t>
      </w:r>
      <w:proofErr w:type="spellStart"/>
      <w:r>
        <w:rPr>
          <w:color w:val="000000"/>
          <w:sz w:val="28"/>
          <w:szCs w:val="28"/>
        </w:rPr>
        <w:t>подушевого</w:t>
      </w:r>
      <w:proofErr w:type="spellEnd"/>
      <w:r>
        <w:rPr>
          <w:color w:val="000000"/>
          <w:sz w:val="28"/>
          <w:szCs w:val="28"/>
        </w:rPr>
        <w:t xml:space="preserve"> норматива финансирования на прикрепившихся лиц </w:t>
      </w:r>
      <w:r>
        <w:rPr>
          <w:spacing w:val="1"/>
          <w:sz w:val="28"/>
          <w:szCs w:val="28"/>
        </w:rPr>
        <w:t>устанавливается</w:t>
      </w:r>
      <w:r w:rsidRPr="007E00E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в пределах индивидуальных значений»</w:t>
      </w:r>
      <w:r w:rsidR="002A199C">
        <w:rPr>
          <w:spacing w:val="1"/>
          <w:sz w:val="28"/>
          <w:szCs w:val="28"/>
        </w:rPr>
        <w:t>.</w:t>
      </w:r>
    </w:p>
    <w:p w:rsidR="008C682C" w:rsidRPr="007E00E9" w:rsidRDefault="008C682C" w:rsidP="008734B2">
      <w:pPr>
        <w:ind w:firstLine="426"/>
        <w:jc w:val="both"/>
        <w:rPr>
          <w:sz w:val="24"/>
          <w:szCs w:val="24"/>
        </w:rPr>
      </w:pPr>
    </w:p>
    <w:p w:rsidR="00087D01" w:rsidRPr="00087D01" w:rsidRDefault="00087D01" w:rsidP="008734B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087D01">
        <w:rPr>
          <w:sz w:val="28"/>
          <w:szCs w:val="28"/>
        </w:rPr>
        <w:t>Изложить в новой редакции следующие приложения к Тарифному соглашению:</w:t>
      </w:r>
    </w:p>
    <w:p w:rsidR="002A199C" w:rsidRPr="00BB3AEE" w:rsidRDefault="00087D01" w:rsidP="008734B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BB3AEE">
        <w:rPr>
          <w:rFonts w:ascii="Times New Roman" w:hAnsi="Times New Roman"/>
          <w:sz w:val="28"/>
          <w:szCs w:val="28"/>
        </w:rPr>
        <w:t xml:space="preserve"> Приложение № 10 «Коэффициенты дифференциации </w:t>
      </w:r>
      <w:proofErr w:type="spellStart"/>
      <w:r w:rsidRPr="00BB3AEE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BB3AEE">
        <w:rPr>
          <w:rFonts w:ascii="Times New Roman" w:hAnsi="Times New Roman"/>
          <w:sz w:val="28"/>
          <w:szCs w:val="28"/>
        </w:rPr>
        <w:t xml:space="preserve"> норматива и размер дифференцированного </w:t>
      </w:r>
      <w:proofErr w:type="spellStart"/>
      <w:r w:rsidRPr="00BB3AEE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BB3AEE">
        <w:rPr>
          <w:rFonts w:ascii="Times New Roman" w:hAnsi="Times New Roman"/>
          <w:sz w:val="28"/>
          <w:szCs w:val="28"/>
        </w:rPr>
        <w:t xml:space="preserve"> норматива финансирования  медицинской помощи, оказываемой в амбулаторных условиях, на прикрепившихся лиц»</w:t>
      </w:r>
      <w:r w:rsidRPr="00A02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№ 1)</w:t>
      </w:r>
      <w:r w:rsidRPr="00BB3AEE">
        <w:rPr>
          <w:rFonts w:ascii="Times New Roman" w:hAnsi="Times New Roman"/>
          <w:sz w:val="28"/>
          <w:szCs w:val="28"/>
        </w:rPr>
        <w:t>;</w:t>
      </w:r>
    </w:p>
    <w:p w:rsidR="00087D01" w:rsidRPr="002A199C" w:rsidRDefault="00087D01" w:rsidP="008734B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Pr="00BB3AEE">
        <w:rPr>
          <w:rFonts w:ascii="Times New Roman" w:hAnsi="Times New Roman"/>
          <w:sz w:val="28"/>
          <w:szCs w:val="28"/>
        </w:rPr>
        <w:t xml:space="preserve"> </w:t>
      </w:r>
      <w:r w:rsidRPr="0074707F">
        <w:rPr>
          <w:rFonts w:ascii="Times New Roman" w:hAnsi="Times New Roman"/>
          <w:sz w:val="28"/>
          <w:szCs w:val="28"/>
        </w:rPr>
        <w:t xml:space="preserve">Приложение № 13  </w:t>
      </w:r>
      <w:r>
        <w:rPr>
          <w:rFonts w:ascii="Times New Roman" w:hAnsi="Times New Roman"/>
          <w:sz w:val="28"/>
          <w:szCs w:val="28"/>
        </w:rPr>
        <w:t>«</w:t>
      </w:r>
      <w:r w:rsidRPr="0074707F">
        <w:rPr>
          <w:rFonts w:ascii="Times New Roman" w:hAnsi="Times New Roman"/>
          <w:sz w:val="28"/>
          <w:szCs w:val="28"/>
        </w:rPr>
        <w:t xml:space="preserve">Коэффициенты дифференциации оказания скорой медицинской помощи и размер фактического дифференцированного </w:t>
      </w:r>
      <w:proofErr w:type="spellStart"/>
      <w:r w:rsidRPr="0074707F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74707F">
        <w:rPr>
          <w:rFonts w:ascii="Times New Roman" w:hAnsi="Times New Roman"/>
          <w:sz w:val="28"/>
          <w:szCs w:val="28"/>
        </w:rPr>
        <w:t xml:space="preserve"> норматива  финансирования скорой медицинской помощи</w:t>
      </w:r>
      <w:r>
        <w:rPr>
          <w:rFonts w:ascii="Times New Roman" w:hAnsi="Times New Roman"/>
          <w:sz w:val="28"/>
          <w:szCs w:val="28"/>
        </w:rPr>
        <w:t>»</w:t>
      </w:r>
      <w:r w:rsidRPr="00A02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 № 2)</w:t>
      </w:r>
      <w:r w:rsidRPr="00BB3AEE">
        <w:rPr>
          <w:rFonts w:ascii="Times New Roman" w:hAnsi="Times New Roman"/>
          <w:sz w:val="28"/>
          <w:szCs w:val="28"/>
        </w:rPr>
        <w:t>;</w:t>
      </w:r>
    </w:p>
    <w:p w:rsidR="0012492D" w:rsidRPr="002A199C" w:rsidRDefault="0012492D" w:rsidP="008734B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87D01" w:rsidRDefault="0012492D" w:rsidP="008734B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A199C">
        <w:rPr>
          <w:rFonts w:ascii="Times New Roman" w:hAnsi="Times New Roman"/>
          <w:sz w:val="28"/>
          <w:szCs w:val="28"/>
        </w:rPr>
        <w:tab/>
      </w:r>
      <w:r w:rsidRPr="0012492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Дополнить Тарифное соглашение Приложением № </w:t>
      </w:r>
      <w:r w:rsidR="006C40E1">
        <w:rPr>
          <w:rFonts w:ascii="Times New Roman" w:hAnsi="Times New Roman"/>
          <w:sz w:val="28"/>
          <w:szCs w:val="28"/>
        </w:rPr>
        <w:t>2</w:t>
      </w:r>
      <w:r w:rsidR="006C40E1" w:rsidRPr="006C40E1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="00087D01" w:rsidRPr="0012492D">
        <w:rPr>
          <w:rFonts w:ascii="Times New Roman" w:hAnsi="Times New Roman"/>
          <w:sz w:val="28"/>
          <w:szCs w:val="28"/>
        </w:rPr>
        <w:t xml:space="preserve"> «</w:t>
      </w:r>
      <w:r w:rsidRPr="0012492D">
        <w:rPr>
          <w:rFonts w:ascii="Times New Roman" w:hAnsi="Times New Roman"/>
          <w:color w:val="000000"/>
          <w:sz w:val="28"/>
          <w:szCs w:val="28"/>
        </w:rPr>
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субъекте Российской Федерации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в составе тарифа на оплату случаев </w:t>
      </w:r>
      <w:r w:rsidR="00E02ED3">
        <w:rPr>
          <w:rFonts w:ascii="Times New Roman" w:hAnsi="Times New Roman"/>
          <w:color w:val="000000"/>
          <w:sz w:val="28"/>
          <w:szCs w:val="28"/>
        </w:rPr>
        <w:t>госпитализаций</w:t>
      </w:r>
      <w:r>
        <w:rPr>
          <w:rFonts w:ascii="Times New Roman" w:hAnsi="Times New Roman"/>
          <w:color w:val="000000"/>
          <w:sz w:val="28"/>
          <w:szCs w:val="28"/>
        </w:rPr>
        <w:t xml:space="preserve"> по клинико-статистическим группам заболеваний</w:t>
      </w:r>
      <w:r w:rsidR="008B2DC7">
        <w:rPr>
          <w:rFonts w:ascii="Times New Roman" w:hAnsi="Times New Roman"/>
          <w:color w:val="000000"/>
          <w:sz w:val="28"/>
          <w:szCs w:val="28"/>
        </w:rPr>
        <w:t xml:space="preserve"> в стационаре</w:t>
      </w:r>
      <w:r w:rsidR="00087D01" w:rsidRPr="0012492D">
        <w:rPr>
          <w:rFonts w:ascii="Times New Roman" w:hAnsi="Times New Roman"/>
          <w:sz w:val="28"/>
          <w:szCs w:val="28"/>
        </w:rPr>
        <w:t>» (Пр</w:t>
      </w:r>
      <w:r>
        <w:rPr>
          <w:rFonts w:ascii="Times New Roman" w:hAnsi="Times New Roman"/>
          <w:sz w:val="28"/>
          <w:szCs w:val="28"/>
        </w:rPr>
        <w:t>иложение № 3</w:t>
      </w:r>
      <w:r w:rsidR="00087D01" w:rsidRPr="0012492D">
        <w:rPr>
          <w:rFonts w:ascii="Times New Roman" w:hAnsi="Times New Roman"/>
          <w:sz w:val="28"/>
          <w:szCs w:val="28"/>
        </w:rPr>
        <w:t>).</w:t>
      </w:r>
    </w:p>
    <w:p w:rsidR="0012492D" w:rsidRPr="0012492D" w:rsidRDefault="0012492D" w:rsidP="008734B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87D01" w:rsidRPr="00BB3AEE" w:rsidRDefault="00087D01" w:rsidP="008734B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BB3AEE">
        <w:rPr>
          <w:sz w:val="28"/>
          <w:szCs w:val="28"/>
        </w:rPr>
        <w:t>. Настоящее соглашение вступает в силу с момента подписания и распространяется на правоо</w:t>
      </w:r>
      <w:r w:rsidR="0012492D">
        <w:rPr>
          <w:sz w:val="28"/>
          <w:szCs w:val="28"/>
        </w:rPr>
        <w:t>тношения, возникшие с 1 ноября</w:t>
      </w:r>
      <w:r w:rsidRPr="00BB3AEE">
        <w:rPr>
          <w:sz w:val="28"/>
          <w:szCs w:val="28"/>
        </w:rPr>
        <w:t xml:space="preserve"> 2024 года</w:t>
      </w:r>
      <w:r w:rsidR="0012492D">
        <w:rPr>
          <w:sz w:val="28"/>
          <w:szCs w:val="28"/>
        </w:rPr>
        <w:t xml:space="preserve"> по 30 ноября 2024 года</w:t>
      </w:r>
      <w:r w:rsidRPr="00BB3AEE">
        <w:rPr>
          <w:sz w:val="28"/>
          <w:szCs w:val="28"/>
        </w:rPr>
        <w:t>.</w:t>
      </w:r>
    </w:p>
    <w:p w:rsidR="00731B91" w:rsidRDefault="00731B91" w:rsidP="008734B2">
      <w:pPr>
        <w:jc w:val="both"/>
        <w:rPr>
          <w:sz w:val="28"/>
          <w:szCs w:val="28"/>
        </w:rPr>
      </w:pPr>
    </w:p>
    <w:p w:rsidR="00731B91" w:rsidRDefault="00731B91" w:rsidP="008734B2">
      <w:pPr>
        <w:jc w:val="both"/>
        <w:rPr>
          <w:sz w:val="28"/>
          <w:szCs w:val="28"/>
        </w:rPr>
      </w:pPr>
    </w:p>
    <w:p w:rsidR="008734B2" w:rsidRPr="00033F14" w:rsidRDefault="008734B2" w:rsidP="00F25E99">
      <w:pPr>
        <w:jc w:val="both"/>
        <w:rPr>
          <w:sz w:val="28"/>
          <w:szCs w:val="28"/>
        </w:rPr>
      </w:pPr>
    </w:p>
    <w:p w:rsidR="00F25E99" w:rsidRPr="007513F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B3AEE">
        <w:rPr>
          <w:rFonts w:ascii="Times New Roman" w:hAnsi="Times New Roman"/>
          <w:b/>
          <w:sz w:val="28"/>
          <w:szCs w:val="28"/>
        </w:rPr>
        <w:t>ПОДПИСИ СТОРОН:</w:t>
      </w:r>
    </w:p>
    <w:p w:rsidR="00F25E99" w:rsidRPr="007513F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65"/>
        <w:gridCol w:w="2431"/>
        <w:gridCol w:w="2551"/>
      </w:tblGrid>
      <w:tr w:rsidR="00F25E99" w:rsidRPr="007513F9" w:rsidTr="00374195">
        <w:trPr>
          <w:trHeight w:val="330"/>
        </w:trPr>
        <w:tc>
          <w:tcPr>
            <w:tcW w:w="4765" w:type="dxa"/>
            <w:vMerge w:val="restart"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  <w:r w:rsidRPr="007513F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31" w:type="dxa"/>
            <w:tcBorders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12492D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Немакина</w:t>
            </w:r>
            <w:proofErr w:type="spellEnd"/>
          </w:p>
        </w:tc>
      </w:tr>
      <w:tr w:rsidR="00F25E99" w:rsidRPr="007513F9" w:rsidTr="00374195">
        <w:trPr>
          <w:trHeight w:val="678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</w:tcPr>
          <w:p w:rsidR="00F25E99" w:rsidRPr="007513F9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>С.Н. Чабан</w:t>
            </w:r>
          </w:p>
        </w:tc>
      </w:tr>
      <w:tr w:rsidR="00F25E99" w:rsidRPr="007513F9" w:rsidTr="00374195">
        <w:trPr>
          <w:trHeight w:val="54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12492D" w:rsidP="00F25E9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О.А. Назарова</w:t>
            </w:r>
          </w:p>
        </w:tc>
      </w:tr>
      <w:tr w:rsidR="00F25E99" w:rsidRPr="007513F9" w:rsidTr="00374195">
        <w:trPr>
          <w:trHeight w:val="58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757CE7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С.А. Лукьянов</w:t>
            </w:r>
          </w:p>
        </w:tc>
      </w:tr>
      <w:tr w:rsidR="00F25E99" w:rsidRPr="00F37F10" w:rsidTr="00374195">
        <w:trPr>
          <w:trHeight w:val="45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2A469A" w:rsidRDefault="00757CE7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Бутько</w:t>
            </w:r>
            <w:proofErr w:type="spellEnd"/>
          </w:p>
        </w:tc>
      </w:tr>
    </w:tbl>
    <w:p w:rsidR="00F25E99" w:rsidRPr="00F37F10" w:rsidRDefault="00F25E99" w:rsidP="00F25E99">
      <w:pPr>
        <w:ind w:left="142"/>
        <w:jc w:val="both"/>
        <w:rPr>
          <w:sz w:val="28"/>
        </w:rPr>
      </w:pPr>
    </w:p>
    <w:p w:rsidR="00B43853" w:rsidRPr="00F25E99" w:rsidRDefault="00B43853" w:rsidP="00F25E99"/>
    <w:sectPr w:rsidR="00B43853" w:rsidRPr="00F25E99" w:rsidSect="002A19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45" w:rsidRDefault="00214145" w:rsidP="00214145">
      <w:r>
        <w:separator/>
      </w:r>
    </w:p>
  </w:endnote>
  <w:endnote w:type="continuationSeparator" w:id="0">
    <w:p w:rsidR="00214145" w:rsidRDefault="00214145" w:rsidP="0021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45" w:rsidRDefault="00214145" w:rsidP="00214145">
      <w:r>
        <w:separator/>
      </w:r>
    </w:p>
  </w:footnote>
  <w:footnote w:type="continuationSeparator" w:id="0">
    <w:p w:rsidR="00214145" w:rsidRDefault="00214145" w:rsidP="00214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67BF"/>
    <w:multiLevelType w:val="hybridMultilevel"/>
    <w:tmpl w:val="1A9EA06E"/>
    <w:lvl w:ilvl="0" w:tplc="09D0D3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B25E3"/>
    <w:multiLevelType w:val="multilevel"/>
    <w:tmpl w:val="E39A2F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0FC06E6C"/>
    <w:multiLevelType w:val="hybridMultilevel"/>
    <w:tmpl w:val="5EAEBE6C"/>
    <w:lvl w:ilvl="0" w:tplc="5112AD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374A09"/>
    <w:multiLevelType w:val="multilevel"/>
    <w:tmpl w:val="DF30B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5923516"/>
    <w:multiLevelType w:val="hybridMultilevel"/>
    <w:tmpl w:val="83F84FEA"/>
    <w:lvl w:ilvl="0" w:tplc="04B4C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C86868"/>
    <w:multiLevelType w:val="multilevel"/>
    <w:tmpl w:val="2D02FD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091EBD"/>
    <w:multiLevelType w:val="hybridMultilevel"/>
    <w:tmpl w:val="851AAEB0"/>
    <w:lvl w:ilvl="0" w:tplc="FF3A1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3FC3AAC"/>
    <w:multiLevelType w:val="hybridMultilevel"/>
    <w:tmpl w:val="690C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A4FCD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AF12629"/>
    <w:multiLevelType w:val="hybridMultilevel"/>
    <w:tmpl w:val="3DBEEE1A"/>
    <w:lvl w:ilvl="0" w:tplc="11F8DE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B5E"/>
    <w:multiLevelType w:val="hybridMultilevel"/>
    <w:tmpl w:val="05C46A68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1">
    <w:nsid w:val="4D667909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E4D1412"/>
    <w:multiLevelType w:val="multilevel"/>
    <w:tmpl w:val="5582B0E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FE066C2"/>
    <w:multiLevelType w:val="hybridMultilevel"/>
    <w:tmpl w:val="184684B0"/>
    <w:lvl w:ilvl="0" w:tplc="BA98EAA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B3234F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E93FCA"/>
    <w:multiLevelType w:val="hybridMultilevel"/>
    <w:tmpl w:val="9F18DAE0"/>
    <w:lvl w:ilvl="0" w:tplc="50EE1D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773201E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10"/>
  </w:num>
  <w:num w:numId="7">
    <w:abstractNumId w:val="16"/>
  </w:num>
  <w:num w:numId="8">
    <w:abstractNumId w:val="15"/>
  </w:num>
  <w:num w:numId="9">
    <w:abstractNumId w:val="11"/>
  </w:num>
  <w:num w:numId="10">
    <w:abstractNumId w:val="14"/>
  </w:num>
  <w:num w:numId="11">
    <w:abstractNumId w:val="13"/>
  </w:num>
  <w:num w:numId="12">
    <w:abstractNumId w:val="9"/>
  </w:num>
  <w:num w:numId="13">
    <w:abstractNumId w:val="8"/>
  </w:num>
  <w:num w:numId="14">
    <w:abstractNumId w:val="12"/>
  </w:num>
  <w:num w:numId="15">
    <w:abstractNumId w:val="5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922"/>
    <w:rsid w:val="0000689B"/>
    <w:rsid w:val="00016A3A"/>
    <w:rsid w:val="000212EC"/>
    <w:rsid w:val="00033F14"/>
    <w:rsid w:val="00051F44"/>
    <w:rsid w:val="00052C5C"/>
    <w:rsid w:val="00061E54"/>
    <w:rsid w:val="00062522"/>
    <w:rsid w:val="00066A0A"/>
    <w:rsid w:val="00082F61"/>
    <w:rsid w:val="0008790A"/>
    <w:rsid w:val="00087CB1"/>
    <w:rsid w:val="00087D01"/>
    <w:rsid w:val="000904D1"/>
    <w:rsid w:val="00090630"/>
    <w:rsid w:val="000A608D"/>
    <w:rsid w:val="000B1BA4"/>
    <w:rsid w:val="000C42DC"/>
    <w:rsid w:val="000F49AB"/>
    <w:rsid w:val="000F6817"/>
    <w:rsid w:val="00106546"/>
    <w:rsid w:val="0012492D"/>
    <w:rsid w:val="001272E3"/>
    <w:rsid w:val="00134DB2"/>
    <w:rsid w:val="00167DA2"/>
    <w:rsid w:val="001723DF"/>
    <w:rsid w:val="00172E5C"/>
    <w:rsid w:val="00183BAB"/>
    <w:rsid w:val="001900A3"/>
    <w:rsid w:val="00193FE7"/>
    <w:rsid w:val="001A3DA1"/>
    <w:rsid w:val="001A5B40"/>
    <w:rsid w:val="001B14A1"/>
    <w:rsid w:val="001B22E2"/>
    <w:rsid w:val="001B267C"/>
    <w:rsid w:val="001D172F"/>
    <w:rsid w:val="001D33B8"/>
    <w:rsid w:val="001D5335"/>
    <w:rsid w:val="001D6AE7"/>
    <w:rsid w:val="001E4302"/>
    <w:rsid w:val="001F20B2"/>
    <w:rsid w:val="001F31AA"/>
    <w:rsid w:val="00205E74"/>
    <w:rsid w:val="00206CC1"/>
    <w:rsid w:val="00207523"/>
    <w:rsid w:val="00214145"/>
    <w:rsid w:val="00214F95"/>
    <w:rsid w:val="00222DB0"/>
    <w:rsid w:val="00225921"/>
    <w:rsid w:val="00247BAB"/>
    <w:rsid w:val="00264E75"/>
    <w:rsid w:val="00266223"/>
    <w:rsid w:val="0026703D"/>
    <w:rsid w:val="0027079C"/>
    <w:rsid w:val="002820D8"/>
    <w:rsid w:val="0029032A"/>
    <w:rsid w:val="002A199C"/>
    <w:rsid w:val="002A2595"/>
    <w:rsid w:val="002A469A"/>
    <w:rsid w:val="002B2860"/>
    <w:rsid w:val="002C048E"/>
    <w:rsid w:val="002D6F94"/>
    <w:rsid w:val="002E30A0"/>
    <w:rsid w:val="002F43B6"/>
    <w:rsid w:val="002F552B"/>
    <w:rsid w:val="002F66B8"/>
    <w:rsid w:val="00324ABB"/>
    <w:rsid w:val="00327D53"/>
    <w:rsid w:val="00333491"/>
    <w:rsid w:val="00333F74"/>
    <w:rsid w:val="00342F81"/>
    <w:rsid w:val="00345922"/>
    <w:rsid w:val="0035560A"/>
    <w:rsid w:val="00357D74"/>
    <w:rsid w:val="00363C72"/>
    <w:rsid w:val="003667B5"/>
    <w:rsid w:val="003A5C1E"/>
    <w:rsid w:val="003A7C3E"/>
    <w:rsid w:val="003B305F"/>
    <w:rsid w:val="003C196C"/>
    <w:rsid w:val="003C7A8F"/>
    <w:rsid w:val="003D31B3"/>
    <w:rsid w:val="003E29A5"/>
    <w:rsid w:val="00416FD0"/>
    <w:rsid w:val="00430FB8"/>
    <w:rsid w:val="00436FD6"/>
    <w:rsid w:val="004440B2"/>
    <w:rsid w:val="0044436D"/>
    <w:rsid w:val="004449CD"/>
    <w:rsid w:val="00445086"/>
    <w:rsid w:val="00461FFA"/>
    <w:rsid w:val="00466B56"/>
    <w:rsid w:val="004670B1"/>
    <w:rsid w:val="004746AB"/>
    <w:rsid w:val="00481461"/>
    <w:rsid w:val="004859E4"/>
    <w:rsid w:val="004A030D"/>
    <w:rsid w:val="004A4E9E"/>
    <w:rsid w:val="004A6539"/>
    <w:rsid w:val="004B03E6"/>
    <w:rsid w:val="004B2A5B"/>
    <w:rsid w:val="004B69F1"/>
    <w:rsid w:val="004D0860"/>
    <w:rsid w:val="004E1B1C"/>
    <w:rsid w:val="004E2848"/>
    <w:rsid w:val="004E6E75"/>
    <w:rsid w:val="004F7D9B"/>
    <w:rsid w:val="0050033B"/>
    <w:rsid w:val="0051670D"/>
    <w:rsid w:val="00516B12"/>
    <w:rsid w:val="00526052"/>
    <w:rsid w:val="00526C4C"/>
    <w:rsid w:val="00527DE9"/>
    <w:rsid w:val="0054683A"/>
    <w:rsid w:val="00560AEE"/>
    <w:rsid w:val="0058044D"/>
    <w:rsid w:val="00582F66"/>
    <w:rsid w:val="00594F9A"/>
    <w:rsid w:val="005A08D1"/>
    <w:rsid w:val="005A0924"/>
    <w:rsid w:val="005A60C8"/>
    <w:rsid w:val="005B426B"/>
    <w:rsid w:val="005E643F"/>
    <w:rsid w:val="006000EF"/>
    <w:rsid w:val="0061132F"/>
    <w:rsid w:val="00627F7E"/>
    <w:rsid w:val="00632643"/>
    <w:rsid w:val="00640463"/>
    <w:rsid w:val="006563C1"/>
    <w:rsid w:val="00662FD9"/>
    <w:rsid w:val="0066514F"/>
    <w:rsid w:val="00665CD4"/>
    <w:rsid w:val="00670258"/>
    <w:rsid w:val="006712A9"/>
    <w:rsid w:val="0067697D"/>
    <w:rsid w:val="00680D4D"/>
    <w:rsid w:val="006937AC"/>
    <w:rsid w:val="006C114A"/>
    <w:rsid w:val="006C2A19"/>
    <w:rsid w:val="006C2E4F"/>
    <w:rsid w:val="006C40E1"/>
    <w:rsid w:val="006C5A1E"/>
    <w:rsid w:val="006D1194"/>
    <w:rsid w:val="006E20E6"/>
    <w:rsid w:val="007059FF"/>
    <w:rsid w:val="007072CC"/>
    <w:rsid w:val="0071114C"/>
    <w:rsid w:val="00711842"/>
    <w:rsid w:val="007118A0"/>
    <w:rsid w:val="007143DB"/>
    <w:rsid w:val="00715592"/>
    <w:rsid w:val="00715AC1"/>
    <w:rsid w:val="00716780"/>
    <w:rsid w:val="00716AA9"/>
    <w:rsid w:val="007311C6"/>
    <w:rsid w:val="00731B91"/>
    <w:rsid w:val="007423E1"/>
    <w:rsid w:val="007436B2"/>
    <w:rsid w:val="0074707F"/>
    <w:rsid w:val="007507AF"/>
    <w:rsid w:val="00753924"/>
    <w:rsid w:val="00755A14"/>
    <w:rsid w:val="00757CE7"/>
    <w:rsid w:val="007665F2"/>
    <w:rsid w:val="007673D6"/>
    <w:rsid w:val="00774DCE"/>
    <w:rsid w:val="00782ABE"/>
    <w:rsid w:val="0079530C"/>
    <w:rsid w:val="007A484B"/>
    <w:rsid w:val="007A7D92"/>
    <w:rsid w:val="007B207E"/>
    <w:rsid w:val="007B450C"/>
    <w:rsid w:val="007C2BAF"/>
    <w:rsid w:val="007D16CD"/>
    <w:rsid w:val="007D2360"/>
    <w:rsid w:val="007D6B09"/>
    <w:rsid w:val="007E73AD"/>
    <w:rsid w:val="007F3672"/>
    <w:rsid w:val="007F6A62"/>
    <w:rsid w:val="00800321"/>
    <w:rsid w:val="00807A9E"/>
    <w:rsid w:val="00812FC1"/>
    <w:rsid w:val="00813B2F"/>
    <w:rsid w:val="00816188"/>
    <w:rsid w:val="00826A42"/>
    <w:rsid w:val="00831536"/>
    <w:rsid w:val="00836AD5"/>
    <w:rsid w:val="00845AA6"/>
    <w:rsid w:val="00846AE6"/>
    <w:rsid w:val="008568B1"/>
    <w:rsid w:val="00861649"/>
    <w:rsid w:val="008635F5"/>
    <w:rsid w:val="00871423"/>
    <w:rsid w:val="008734B2"/>
    <w:rsid w:val="00875FA4"/>
    <w:rsid w:val="008820BB"/>
    <w:rsid w:val="00885E67"/>
    <w:rsid w:val="00894EC4"/>
    <w:rsid w:val="00895A18"/>
    <w:rsid w:val="008A715F"/>
    <w:rsid w:val="008B1B22"/>
    <w:rsid w:val="008B2DC7"/>
    <w:rsid w:val="008B3776"/>
    <w:rsid w:val="008B4C88"/>
    <w:rsid w:val="008B5820"/>
    <w:rsid w:val="008C2E8B"/>
    <w:rsid w:val="008C66E4"/>
    <w:rsid w:val="008C682C"/>
    <w:rsid w:val="008D2B43"/>
    <w:rsid w:val="008D35FE"/>
    <w:rsid w:val="008D3C2F"/>
    <w:rsid w:val="008F086F"/>
    <w:rsid w:val="008F181D"/>
    <w:rsid w:val="008F5B65"/>
    <w:rsid w:val="0091491C"/>
    <w:rsid w:val="00921FEC"/>
    <w:rsid w:val="009222DF"/>
    <w:rsid w:val="00932813"/>
    <w:rsid w:val="00953556"/>
    <w:rsid w:val="00974D49"/>
    <w:rsid w:val="009818E8"/>
    <w:rsid w:val="009A32F4"/>
    <w:rsid w:val="009A6164"/>
    <w:rsid w:val="009B3803"/>
    <w:rsid w:val="009C45E6"/>
    <w:rsid w:val="009D0894"/>
    <w:rsid w:val="009E0A2E"/>
    <w:rsid w:val="009E147D"/>
    <w:rsid w:val="009E5034"/>
    <w:rsid w:val="009E5643"/>
    <w:rsid w:val="009F1208"/>
    <w:rsid w:val="00A021F4"/>
    <w:rsid w:val="00A24154"/>
    <w:rsid w:val="00A248DC"/>
    <w:rsid w:val="00A4086D"/>
    <w:rsid w:val="00A43A1A"/>
    <w:rsid w:val="00A45F03"/>
    <w:rsid w:val="00A50035"/>
    <w:rsid w:val="00A55EE5"/>
    <w:rsid w:val="00A63A4C"/>
    <w:rsid w:val="00A66D33"/>
    <w:rsid w:val="00A75450"/>
    <w:rsid w:val="00A77E3E"/>
    <w:rsid w:val="00A81061"/>
    <w:rsid w:val="00A835BA"/>
    <w:rsid w:val="00A9164C"/>
    <w:rsid w:val="00AB5C23"/>
    <w:rsid w:val="00AC370B"/>
    <w:rsid w:val="00AD311A"/>
    <w:rsid w:val="00AD648E"/>
    <w:rsid w:val="00AD73BA"/>
    <w:rsid w:val="00AE1915"/>
    <w:rsid w:val="00AE2F2D"/>
    <w:rsid w:val="00AE6556"/>
    <w:rsid w:val="00AF4236"/>
    <w:rsid w:val="00B03FCE"/>
    <w:rsid w:val="00B12CFD"/>
    <w:rsid w:val="00B138C4"/>
    <w:rsid w:val="00B21EE5"/>
    <w:rsid w:val="00B43853"/>
    <w:rsid w:val="00B72BF7"/>
    <w:rsid w:val="00BA06B8"/>
    <w:rsid w:val="00BB3AEE"/>
    <w:rsid w:val="00BB5906"/>
    <w:rsid w:val="00BB706C"/>
    <w:rsid w:val="00BC24EC"/>
    <w:rsid w:val="00BD4AC1"/>
    <w:rsid w:val="00BE2A7F"/>
    <w:rsid w:val="00BE6E3D"/>
    <w:rsid w:val="00BF16DA"/>
    <w:rsid w:val="00BF4C82"/>
    <w:rsid w:val="00C0094C"/>
    <w:rsid w:val="00C049F9"/>
    <w:rsid w:val="00C158C4"/>
    <w:rsid w:val="00C24256"/>
    <w:rsid w:val="00C306C4"/>
    <w:rsid w:val="00C364E5"/>
    <w:rsid w:val="00C36E3C"/>
    <w:rsid w:val="00C47461"/>
    <w:rsid w:val="00C5452C"/>
    <w:rsid w:val="00C60583"/>
    <w:rsid w:val="00C61FE0"/>
    <w:rsid w:val="00C657CE"/>
    <w:rsid w:val="00C66845"/>
    <w:rsid w:val="00C7044A"/>
    <w:rsid w:val="00C74B70"/>
    <w:rsid w:val="00C74D33"/>
    <w:rsid w:val="00C75DEC"/>
    <w:rsid w:val="00C83E5A"/>
    <w:rsid w:val="00C9040A"/>
    <w:rsid w:val="00C90C0B"/>
    <w:rsid w:val="00C92C79"/>
    <w:rsid w:val="00CA361E"/>
    <w:rsid w:val="00CB1561"/>
    <w:rsid w:val="00CD31AA"/>
    <w:rsid w:val="00CD3A78"/>
    <w:rsid w:val="00CD516B"/>
    <w:rsid w:val="00D01E88"/>
    <w:rsid w:val="00D167F3"/>
    <w:rsid w:val="00D17F0D"/>
    <w:rsid w:val="00D454C1"/>
    <w:rsid w:val="00D46F8D"/>
    <w:rsid w:val="00D477CB"/>
    <w:rsid w:val="00D537D5"/>
    <w:rsid w:val="00D74189"/>
    <w:rsid w:val="00D845A7"/>
    <w:rsid w:val="00D86AF5"/>
    <w:rsid w:val="00D90174"/>
    <w:rsid w:val="00D93302"/>
    <w:rsid w:val="00D94073"/>
    <w:rsid w:val="00D96B7C"/>
    <w:rsid w:val="00DA0032"/>
    <w:rsid w:val="00DA1718"/>
    <w:rsid w:val="00DA20F6"/>
    <w:rsid w:val="00DB2427"/>
    <w:rsid w:val="00DC6DB4"/>
    <w:rsid w:val="00DE1F2B"/>
    <w:rsid w:val="00DF029F"/>
    <w:rsid w:val="00DF0612"/>
    <w:rsid w:val="00DF10B7"/>
    <w:rsid w:val="00DF3431"/>
    <w:rsid w:val="00DF5BF9"/>
    <w:rsid w:val="00E02C16"/>
    <w:rsid w:val="00E02ED3"/>
    <w:rsid w:val="00E12232"/>
    <w:rsid w:val="00E26912"/>
    <w:rsid w:val="00E2695C"/>
    <w:rsid w:val="00E3355C"/>
    <w:rsid w:val="00E400C9"/>
    <w:rsid w:val="00E4157A"/>
    <w:rsid w:val="00E46079"/>
    <w:rsid w:val="00E46FF2"/>
    <w:rsid w:val="00E6656B"/>
    <w:rsid w:val="00E67CF2"/>
    <w:rsid w:val="00E73080"/>
    <w:rsid w:val="00E77503"/>
    <w:rsid w:val="00EB5196"/>
    <w:rsid w:val="00EE4514"/>
    <w:rsid w:val="00EE7E43"/>
    <w:rsid w:val="00EF3BF5"/>
    <w:rsid w:val="00F00015"/>
    <w:rsid w:val="00F22E5D"/>
    <w:rsid w:val="00F25E99"/>
    <w:rsid w:val="00F33C85"/>
    <w:rsid w:val="00F37F10"/>
    <w:rsid w:val="00F53033"/>
    <w:rsid w:val="00F6720C"/>
    <w:rsid w:val="00F712A6"/>
    <w:rsid w:val="00F719E0"/>
    <w:rsid w:val="00F731BB"/>
    <w:rsid w:val="00F808A4"/>
    <w:rsid w:val="00F938F8"/>
    <w:rsid w:val="00FB3191"/>
    <w:rsid w:val="00FB7F9F"/>
    <w:rsid w:val="00FC1D26"/>
    <w:rsid w:val="00FC3D1B"/>
    <w:rsid w:val="00FC6181"/>
    <w:rsid w:val="00FD1CC5"/>
    <w:rsid w:val="00FE0BB8"/>
    <w:rsid w:val="00FE5BAD"/>
    <w:rsid w:val="00FF2E0F"/>
    <w:rsid w:val="00FF4D25"/>
    <w:rsid w:val="00FF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152,bqiaagaaeyqcaaagiaiaaan7dqaabyknaaaaaaaaaaaaaaaaaaaaaaaaaaaaaaaaaaaaaaaaaaaaaaaaaaaaaaaaaaaaaaaaaaaaaaaaaaaaaaaaaaaaaaaaaaaaaaaaaaaaaaaaaaaaaaaaaaaaaaaaaaaaaaaaaaaaaaaaaaaaaaaaaaaaaaaaaaaaaaaaaaaaaaaaaaaaaaaaaaaaaaaaaaaaaaaaaaaaaaaa"/>
    <w:basedOn w:val="a"/>
    <w:rsid w:val="008C682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60E36-2ECA-40CE-940B-4AC78850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12492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Мурзина Маргарита Иннокентьевна</cp:lastModifiedBy>
  <cp:revision>177</cp:revision>
  <cp:lastPrinted>2024-12-26T02:50:00Z</cp:lastPrinted>
  <dcterms:created xsi:type="dcterms:W3CDTF">2022-03-30T02:15:00Z</dcterms:created>
  <dcterms:modified xsi:type="dcterms:W3CDTF">2025-01-21T23:29:00Z</dcterms:modified>
</cp:coreProperties>
</file>